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2"/>
        <w:tblW w:w="97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9741"/>
      </w:tblGrid>
      <w:tr w14:paraId="77A30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889" w:type="dxa"/>
            <w:tcBorders>
              <w:top w:val="single" w:color="auto" w:sz="8" w:space="0"/>
            </w:tcBorders>
          </w:tcPr>
          <w:p w14:paraId="0F136F57">
            <w:pPr>
              <w:pStyle w:val="35"/>
              <w:framePr w:wrap="around"/>
              <w:widowControl w:val="0"/>
              <w:jc w:val="both"/>
              <w:rPr>
                <w:rFonts w:hint="default"/>
                <w:sz w:val="10"/>
              </w:rPr>
            </w:pPr>
          </w:p>
        </w:tc>
      </w:tr>
    </w:tbl>
    <w:p w14:paraId="45454BF5">
      <w:pPr>
        <w:pStyle w:val="42"/>
        <w:framePr w:wrap="around"/>
        <w:rPr>
          <w:rFonts w:hint="default"/>
        </w:rPr>
      </w:pPr>
      <w:r>
        <w:t>辽宁好粮油 桓仁大米</w:t>
      </w:r>
    </w:p>
    <w:p w14:paraId="0E7FCA74">
      <w:pPr>
        <w:pStyle w:val="43"/>
        <w:framePr w:wrap="around"/>
        <w:rPr>
          <w:rFonts w:hint="default"/>
        </w:rPr>
      </w:pPr>
      <w:r>
        <w:t>Liaoning good grain＆oil–HuanRen rice</w:t>
      </w:r>
    </w:p>
    <w:p w14:paraId="57866C73">
      <w:pPr>
        <w:pStyle w:val="44"/>
        <w:framePr w:wrap="around"/>
        <w:rPr>
          <w:rFonts w:hint="default"/>
        </w:rPr>
      </w:pPr>
    </w:p>
    <w:p w14:paraId="7A9E7C37">
      <w:pPr>
        <w:pStyle w:val="46"/>
        <w:framePr w:wrap="around"/>
        <w:spacing w:before="100"/>
        <w:rPr>
          <w:sz w:val="28"/>
          <w:szCs w:val="28"/>
        </w:rPr>
      </w:pPr>
      <w:r>
        <w:rPr>
          <w:sz w:val="28"/>
          <w:szCs w:val="28"/>
        </w:rPr>
        <w:t>（征求意见稿）</w:t>
      </w:r>
    </w:p>
    <w:p w14:paraId="2D10537A">
      <w:pPr>
        <w:pStyle w:val="47"/>
        <w:framePr w:wrap="around"/>
        <w:spacing w:before="686" w:beforeLines="220" w:after="93"/>
        <w:rPr>
          <w:rFonts w:hint="default"/>
        </w:rPr>
      </w:pPr>
    </w:p>
    <w:tbl>
      <w:tblPr>
        <w:tblStyle w:val="22"/>
        <w:tblW w:w="97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870"/>
        <w:gridCol w:w="4871"/>
      </w:tblGrid>
      <w:tr w14:paraId="516DA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3" w:hRule="exact"/>
        </w:trPr>
        <w:tc>
          <w:tcPr>
            <w:tcW w:w="4944" w:type="dxa"/>
            <w:tcBorders>
              <w:bottom w:val="single" w:color="auto" w:sz="8" w:space="0"/>
            </w:tcBorders>
            <w:tcMar>
              <w:left w:w="57" w:type="dxa"/>
              <w:bottom w:w="28" w:type="dxa"/>
            </w:tcMar>
          </w:tcPr>
          <w:p w14:paraId="665F2EC8">
            <w:pPr>
              <w:pStyle w:val="39"/>
              <w:framePr w:wrap="around"/>
              <w:widowControl w:val="0"/>
              <w:jc w:val="both"/>
              <w:rPr>
                <w:rFonts w:hint="default"/>
              </w:rPr>
            </w:pPr>
            <w:r>
              <w:t>2026 - XX - XX 发布</w:t>
            </w:r>
          </w:p>
        </w:tc>
        <w:tc>
          <w:tcPr>
            <w:tcW w:w="4945" w:type="dxa"/>
            <w:tcBorders>
              <w:bottom w:val="single" w:color="auto" w:sz="8" w:space="0"/>
            </w:tcBorders>
            <w:tcMar>
              <w:right w:w="57" w:type="dxa"/>
            </w:tcMar>
          </w:tcPr>
          <w:p w14:paraId="6C92A916">
            <w:pPr>
              <w:pStyle w:val="39"/>
              <w:framePr w:wrap="around"/>
              <w:widowControl w:val="0"/>
              <w:jc w:val="right"/>
              <w:rPr>
                <w:rFonts w:hint="default"/>
              </w:rPr>
            </w:pPr>
            <w:r>
              <w:t>2026 - XX - XX 实施</w:t>
            </w:r>
          </w:p>
        </w:tc>
      </w:tr>
    </w:tbl>
    <w:p w14:paraId="770E6A19">
      <w:pPr>
        <w:pStyle w:val="49"/>
        <w:framePr w:wrap="around"/>
        <w:spacing w:before="0"/>
      </w:pPr>
      <w:r>
        <w:t>辽宁省粮食行业协会  </w:t>
      </w:r>
      <w:r>
        <w:rPr>
          <w:spacing w:val="85"/>
        </w:rPr>
        <w:t>发</w:t>
      </w:r>
      <w:r>
        <w:t>布</w:t>
      </w:r>
    </w:p>
    <w:tbl>
      <w:tblPr>
        <w:tblStyle w:val="22"/>
        <w:tblW w:w="95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63"/>
        <w:gridCol w:w="9107"/>
      </w:tblGrid>
      <w:tr w14:paraId="0BA39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63" w:type="dxa"/>
          </w:tcPr>
          <w:p w14:paraId="7F094627">
            <w:pPr>
              <w:pStyle w:val="53"/>
              <w:framePr w:wrap="around"/>
              <w:jc w:val="both"/>
              <w:rPr>
                <w:rFonts w:hint="default"/>
              </w:rPr>
            </w:pPr>
            <w:r>
              <w:t>ICS</w:t>
            </w:r>
          </w:p>
        </w:tc>
        <w:tc>
          <w:tcPr>
            <w:tcW w:w="9107" w:type="dxa"/>
          </w:tcPr>
          <w:p w14:paraId="21D536CA">
            <w:pPr>
              <w:pStyle w:val="53"/>
              <w:framePr w:wrap="around"/>
              <w:jc w:val="both"/>
              <w:rPr>
                <w:rFonts w:hint="default"/>
              </w:rPr>
            </w:pPr>
            <w:r>
              <w:t>67.060</w:t>
            </w:r>
          </w:p>
        </w:tc>
      </w:tr>
      <w:tr w14:paraId="12C04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63" w:type="dxa"/>
          </w:tcPr>
          <w:p w14:paraId="1DEAC714">
            <w:pPr>
              <w:pStyle w:val="53"/>
              <w:framePr w:wrap="around"/>
              <w:jc w:val="both"/>
              <w:rPr>
                <w:rFonts w:hint="default"/>
              </w:rPr>
            </w:pPr>
            <w:r>
              <w:rPr>
                <w:rFonts w:hint="default"/>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358775</wp:posOffset>
                      </wp:positionV>
                      <wp:extent cx="6076950" cy="1275715"/>
                      <wp:effectExtent l="0" t="0" r="0" b="635"/>
                      <wp:wrapNone/>
                      <wp:docPr id="3" name="文本框 3"/>
                      <wp:cNvGraphicFramePr/>
                      <a:graphic xmlns:a="http://schemas.openxmlformats.org/drawingml/2006/main">
                        <a:graphicData uri="http://schemas.microsoft.com/office/word/2010/wordprocessingShape">
                          <wps:wsp>
                            <wps:cNvSpPr txBox="1"/>
                            <wps:spPr>
                              <a:xfrm>
                                <a:off x="822960" y="925195"/>
                                <a:ext cx="6076950" cy="12757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440D307">
                                  <w:pPr>
                                    <w:ind w:left="113"/>
                                    <w:jc w:val="right"/>
                                    <w:rPr>
                                      <w:rFonts w:hint="default" w:ascii="Times New Roman"/>
                                      <w:b/>
                                      <w:w w:val="130"/>
                                      <w:sz w:val="96"/>
                                    </w:rPr>
                                  </w:pPr>
                                  <w:r>
                                    <w:rPr>
                                      <w:rFonts w:ascii="Times New Roman"/>
                                      <w:b/>
                                      <w:w w:val="130"/>
                                      <w:sz w:val="96"/>
                                    </w:rPr>
                                    <w:t>T/LNSLX</w:t>
                                  </w:r>
                                </w:p>
                                <w:p w14:paraId="75EC9E8A">
                                  <w:pPr>
                                    <w:spacing w:line="580" w:lineRule="exact"/>
                                    <w:ind w:left="115"/>
                                    <w:jc w:val="left"/>
                                    <w:rPr>
                                      <w:rFonts w:ascii="黑体" w:hAnsi="黑体" w:eastAsia="黑体" w:cs="黑体"/>
                                      <w:sz w:val="48"/>
                                      <w:szCs w:val="48"/>
                                    </w:rPr>
                                  </w:pPr>
                                  <w:r>
                                    <w:rPr>
                                      <w:rFonts w:ascii="黑体" w:hAnsi="黑体" w:eastAsia="黑体" w:cs="黑体"/>
                                      <w:sz w:val="48"/>
                                      <w:szCs w:val="48"/>
                                    </w:rPr>
                                    <w:t>辽 宁 省 粮 食 行 业 协 会 团 体 标 准</w:t>
                                  </w:r>
                                </w:p>
                                <w:p w14:paraId="118AFCA9">
                                  <w:pPr>
                                    <w:rPr>
                                      <w:rFonts w:hint="default"/>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pt;margin-top:28.25pt;height:100.45pt;width:478.5pt;z-index:251660288;mso-width-relative:page;mso-height-relative:page;" fillcolor="#FFFFFF [3201]" filled="t" stroked="f" coordsize="21600,21600" o:gfxdata="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oY5Nj0wAA&#10;AAcBAAAPAAAAAAAAAAEAIAAAACIAAABkcnMvZG93bnJldi54bWxQSwECFAAUAAAACACHTuJAL1ew&#10;uVwCAACaBAAADgAAAAAAAAABACAAAAAiAQAAZHJzL2Uyb0RvYy54bWxQSwUGAAAAAAYABgBZAQAA&#10;8AUAAAAA&#10;">
                      <v:fill on="t" focussize="0,0"/>
                      <v:stroke on="f" weight="0.5pt"/>
                      <v:imagedata o:title=""/>
                      <o:lock v:ext="edit" aspectratio="f"/>
                      <v:textbox>
                        <w:txbxContent>
                          <w:p w14:paraId="7440D307">
                            <w:pPr>
                              <w:ind w:left="113"/>
                              <w:jc w:val="right"/>
                              <w:rPr>
                                <w:rFonts w:hint="default" w:ascii="Times New Roman"/>
                                <w:b/>
                                <w:w w:val="130"/>
                                <w:sz w:val="96"/>
                              </w:rPr>
                            </w:pPr>
                            <w:r>
                              <w:rPr>
                                <w:rFonts w:ascii="Times New Roman"/>
                                <w:b/>
                                <w:w w:val="130"/>
                                <w:sz w:val="96"/>
                              </w:rPr>
                              <w:t>T/LNSLX</w:t>
                            </w:r>
                          </w:p>
                          <w:p w14:paraId="75EC9E8A">
                            <w:pPr>
                              <w:spacing w:line="580" w:lineRule="exact"/>
                              <w:ind w:left="115"/>
                              <w:jc w:val="left"/>
                              <w:rPr>
                                <w:rFonts w:ascii="黑体" w:hAnsi="黑体" w:eastAsia="黑体" w:cs="黑体"/>
                                <w:sz w:val="48"/>
                                <w:szCs w:val="48"/>
                              </w:rPr>
                            </w:pPr>
                            <w:r>
                              <w:rPr>
                                <w:rFonts w:ascii="黑体" w:hAnsi="黑体" w:eastAsia="黑体" w:cs="黑体"/>
                                <w:sz w:val="48"/>
                                <w:szCs w:val="48"/>
                              </w:rPr>
                              <w:t>辽 宁 省 粮 食 行 业 协 会 团 体 标 准</w:t>
                            </w:r>
                          </w:p>
                          <w:p w14:paraId="118AFCA9">
                            <w:pPr>
                              <w:rPr>
                                <w:rFonts w:hint="default"/>
                              </w:rPr>
                            </w:pPr>
                          </w:p>
                        </w:txbxContent>
                      </v:textbox>
                    </v:shape>
                  </w:pict>
                </mc:Fallback>
              </mc:AlternateContent>
            </w:r>
            <w:r>
              <w:t>B</w:t>
            </w:r>
          </w:p>
        </w:tc>
        <w:tc>
          <w:tcPr>
            <w:tcW w:w="9107" w:type="dxa"/>
          </w:tcPr>
          <w:p w14:paraId="52E4132C">
            <w:pPr>
              <w:pStyle w:val="53"/>
              <w:framePr w:wrap="around"/>
              <w:jc w:val="both"/>
              <w:rPr>
                <w:rFonts w:hint="default"/>
              </w:rPr>
            </w:pPr>
            <w:r>
              <w:t>20</w:t>
            </w:r>
            <w:bookmarkStart w:id="4" w:name="_GoBack"/>
            <w:bookmarkEnd w:id="4"/>
          </w:p>
        </w:tc>
      </w:tr>
    </w:tbl>
    <w:p w14:paraId="769859C8">
      <w:pPr>
        <w:pStyle w:val="53"/>
        <w:framePr w:wrap="around"/>
        <w:rPr>
          <w:rFonts w:hint="default"/>
        </w:rPr>
        <w:sectPr>
          <w:pgSz w:w="11906" w:h="16838"/>
          <w:pgMar w:top="-340" w:right="1134" w:bottom="1021" w:left="1134" w:header="0" w:footer="0" w:gutter="284"/>
          <w:pgNumType w:fmt="upperRoman" w:start="1"/>
          <w:cols w:space="425" w:num="1"/>
          <w:titlePg/>
          <w:docGrid w:type="lines" w:linePitch="312" w:charSpace="0"/>
        </w:sectPr>
      </w:pPr>
    </w:p>
    <w:p w14:paraId="4DB93A4D">
      <w:pPr>
        <w:pStyle w:val="55"/>
        <w:spacing w:after="468"/>
        <w:rPr>
          <w:rFonts w:hint="default"/>
        </w:rPr>
      </w:pPr>
      <w:r>
        <w:rPr>
          <w:spacing w:val="317"/>
        </w:rPr>
        <w:t>前</w:t>
      </w:r>
      <w:bookmarkStart w:id="0" w:name="BKQY"/>
      <w:r>
        <w:t>言</w:t>
      </w:r>
    </w:p>
    <w:p w14:paraId="55FE847F">
      <w:pPr>
        <w:pStyle w:val="25"/>
        <w:ind w:firstLine="420"/>
        <w:rPr>
          <w:rFonts w:hint="default"/>
        </w:rPr>
      </w:pPr>
      <w:r>
        <w:t>本文件按照GB/T 1.1—2020《标准化工作导则  第1部分：标准化文件的结构和起草规则》的规定起草。</w:t>
      </w:r>
    </w:p>
    <w:p w14:paraId="202DE4E4">
      <w:pPr>
        <w:pStyle w:val="25"/>
        <w:ind w:firstLine="420"/>
        <w:rPr>
          <w:rFonts w:hint="default"/>
        </w:rPr>
      </w:pPr>
      <w:r>
        <w:t>请注意本文件的某些内容可能涉及专利。本文件的发布机构不承担识别专利的责任。</w:t>
      </w:r>
    </w:p>
    <w:p w14:paraId="1BB2AFC2">
      <w:pPr>
        <w:pStyle w:val="25"/>
        <w:ind w:firstLine="420"/>
        <w:rPr>
          <w:rFonts w:hint="default"/>
        </w:rPr>
      </w:pPr>
      <w:r>
        <w:t>本文件由辽宁省粮食行业协会提出并归口。</w:t>
      </w:r>
    </w:p>
    <w:p w14:paraId="310D7068">
      <w:pPr>
        <w:pStyle w:val="25"/>
        <w:ind w:firstLine="420"/>
        <w:rPr>
          <w:rFonts w:hint="default"/>
        </w:rPr>
      </w:pPr>
      <w:r>
        <w:t>本文件起草单位：辽宁省粮食和物资储备事务服务中心、本溪市国家粮油质量监测站、桓仁满族自治县检验检测服务中心、桓仁官地贡米发展有限公司</w:t>
      </w:r>
      <w:r>
        <w:rPr>
          <w:rFonts w:hint="eastAsia"/>
          <w:lang w:eastAsia="zh-CN"/>
        </w:rPr>
        <w:t>、</w:t>
      </w:r>
      <w:r>
        <w:rPr>
          <w:rFonts w:hint="eastAsia"/>
          <w:highlight w:val="yellow"/>
        </w:rPr>
        <w:t>XXXXXXXXXXXXXXXXXXXXXXXXX</w:t>
      </w:r>
      <w:r>
        <w:rPr>
          <w:rFonts w:hint="eastAsia"/>
        </w:rPr>
        <w:t xml:space="preserve"> </w:t>
      </w:r>
      <w:r>
        <w:t>。</w:t>
      </w:r>
    </w:p>
    <w:p w14:paraId="45F097A7">
      <w:pPr>
        <w:pStyle w:val="25"/>
        <w:ind w:firstLine="420"/>
        <w:rPr>
          <w:rFonts w:hint="eastAsia"/>
        </w:rPr>
      </w:pPr>
      <w:r>
        <w:t>本文件主要起草人：</w:t>
      </w:r>
      <w:r>
        <w:rPr>
          <w:rFonts w:hint="eastAsia"/>
          <w:highlight w:val="yellow"/>
        </w:rPr>
        <w:t>XXXXXXXXXXXXXXXXXXXXXXXXX</w:t>
      </w:r>
      <w:r>
        <w:rPr>
          <w:rFonts w:hint="eastAsia"/>
        </w:rPr>
        <w:t xml:space="preserve"> </w:t>
      </w:r>
    </w:p>
    <w:p w14:paraId="2A1F003B">
      <w:pPr>
        <w:pStyle w:val="25"/>
        <w:ind w:firstLine="420"/>
        <w:rPr>
          <w:rFonts w:hint="default"/>
        </w:rPr>
      </w:pPr>
      <w:r>
        <w:t>本文件发布实施后，任何单位和个人如有问题和意见建议，均可以通过来电和来函等方式进行反馈，我们将及时答复并认真处理，根据实际情况依法进行评估及复审。</w:t>
      </w:r>
    </w:p>
    <w:p w14:paraId="0258A7FC">
      <w:pPr>
        <w:pStyle w:val="25"/>
        <w:ind w:firstLine="420"/>
        <w:rPr>
          <w:rFonts w:hint="default"/>
        </w:rPr>
      </w:pPr>
      <w:r>
        <w:t>归口管理部门联系方式：辽宁省粮食行业协会 （沈阳市皇姑区宁山东路xxx号），联系电话：024-</w:t>
      </w:r>
      <w:r>
        <w:rPr>
          <w:rFonts w:hint="default"/>
        </w:rPr>
        <w:t>86241597</w:t>
      </w:r>
      <w:r>
        <w:t>。</w:t>
      </w:r>
    </w:p>
    <w:p w14:paraId="1E312C24">
      <w:pPr>
        <w:pStyle w:val="25"/>
        <w:ind w:firstLine="420"/>
        <w:rPr>
          <w:rFonts w:hint="default"/>
        </w:rPr>
      </w:pPr>
      <w:r>
        <w:t>起草部门联系方式：本溪市国家粮油质量监测站（本溪市明山区东和路15号），联系电话：024-43967966。</w:t>
      </w:r>
    </w:p>
    <w:p w14:paraId="5F772065">
      <w:pPr>
        <w:pStyle w:val="25"/>
        <w:ind w:firstLine="420"/>
        <w:rPr>
          <w:rFonts w:hint="default"/>
        </w:rPr>
      </w:pPr>
    </w:p>
    <w:bookmarkEnd w:id="0"/>
    <w:p w14:paraId="78229FD3">
      <w:pPr>
        <w:rPr>
          <w:rFonts w:hint="default"/>
        </w:rPr>
      </w:pPr>
    </w:p>
    <w:p w14:paraId="635A5963">
      <w:pPr>
        <w:rPr>
          <w:rFonts w:hint="default"/>
        </w:rPr>
      </w:pPr>
    </w:p>
    <w:p w14:paraId="1C240EFF">
      <w:pPr>
        <w:rPr>
          <w:rFonts w:hint="default"/>
        </w:rPr>
        <w:sectPr>
          <w:headerReference r:id="rId3" w:type="default"/>
          <w:footerReference r:id="rId4" w:type="default"/>
          <w:pgSz w:w="11906" w:h="16838"/>
          <w:pgMar w:top="2410" w:right="1134" w:bottom="1134" w:left="1134" w:header="1418" w:footer="1134" w:gutter="284"/>
          <w:pgNumType w:fmt="upperRoman" w:start="1"/>
          <w:cols w:space="425" w:num="1"/>
          <w:docGrid w:type="lines" w:linePitch="312" w:charSpace="0"/>
        </w:sectPr>
      </w:pPr>
    </w:p>
    <w:sdt>
      <w:sdtPr>
        <w:rPr>
          <w:rStyle w:val="120"/>
        </w:rPr>
        <w:tag w:val="StandardName"/>
        <w:id w:val="147460764"/>
        <w:lock w:val="sdtLocked"/>
        <w:placeholder>
          <w:docPart w:val="{4eb710dd-4ab7-4dda-b46a-610e444cd7ff}"/>
        </w:placeholder>
      </w:sdtPr>
      <w:sdtEndPr>
        <w:rPr>
          <w:rStyle w:val="120"/>
        </w:rPr>
      </w:sdtEndPr>
      <w:sdtContent>
        <w:p w14:paraId="2E6012EC">
          <w:pPr>
            <w:pStyle w:val="56"/>
            <w:rPr>
              <w:rStyle w:val="120"/>
            </w:rPr>
          </w:pPr>
          <w:bookmarkStart w:id="1" w:name="StandardName"/>
          <w:r>
            <w:rPr>
              <w:rStyle w:val="120"/>
            </w:rPr>
            <w:t>辽宁好粮油 桓仁大米</w:t>
          </w:r>
        </w:p>
      </w:sdtContent>
    </w:sdt>
    <w:bookmarkEnd w:id="1"/>
    <w:p w14:paraId="36C2A9BF">
      <w:pPr>
        <w:pStyle w:val="72"/>
        <w:spacing w:before="312" w:after="312"/>
        <w:rPr>
          <w:rStyle w:val="120"/>
        </w:rPr>
      </w:pPr>
      <w:r>
        <w:t>范围</w:t>
      </w:r>
    </w:p>
    <w:p w14:paraId="64F6DF33">
      <w:pPr>
        <w:pStyle w:val="25"/>
        <w:ind w:firstLine="420"/>
        <w:rPr>
          <w:rFonts w:hint="default"/>
        </w:rPr>
      </w:pPr>
      <w:r>
        <w:t>本文件规定了辽宁好粮油桓仁大米的术语和定义、质量与安全要求、检验方法、检验规则、标签标 识、包装、储存和运输以及追溯信息的要求。</w:t>
      </w:r>
    </w:p>
    <w:p w14:paraId="6DDD870F">
      <w:pPr>
        <w:pStyle w:val="25"/>
        <w:ind w:firstLine="420"/>
        <w:rPr>
          <w:rFonts w:hint="default"/>
        </w:rPr>
      </w:pPr>
      <w:r>
        <w:t>本文件适用于以 DB21/T 4258 规定的地理范围内种植生产的粳稻谷为原料，由桓仁县区域内企业加工生产的食用商品大米。</w:t>
      </w:r>
    </w:p>
    <w:p w14:paraId="66933AFD">
      <w:pPr>
        <w:pStyle w:val="25"/>
        <w:ind w:firstLine="420"/>
        <w:rPr>
          <w:rFonts w:hint="default"/>
        </w:rPr>
      </w:pPr>
      <w:r>
        <w:t>本标准不适用于粳糯米和各种特殊品种大米。</w:t>
      </w:r>
    </w:p>
    <w:p w14:paraId="394AF585">
      <w:pPr>
        <w:pStyle w:val="72"/>
        <w:spacing w:before="312" w:after="312"/>
        <w:rPr>
          <w:rFonts w:hint="default"/>
        </w:rPr>
      </w:pPr>
      <w:r>
        <w:t>规范性引用文件</w:t>
      </w:r>
    </w:p>
    <w:sdt>
      <w:sdtPr>
        <w:tag w:val="StandNameFile"/>
        <w:id w:val="147459980"/>
        <w:placeholder>
          <w:docPart w:val="{9908bc42-d7f9-4f9b-8721-7683c94680ba}"/>
        </w:placeholder>
        <w:comboBox>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comboBox>
      </w:sdtPr>
      <w:sdtContent>
        <w:p w14:paraId="0BB9C197">
          <w:pPr>
            <w:pStyle w:val="25"/>
            <w:ind w:firstLine="420"/>
            <w:rPr>
              <w:rFonts w:hint="default"/>
            </w:rPr>
          </w:pPr>
          <w: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70448243">
      <w:pPr>
        <w:pStyle w:val="25"/>
        <w:ind w:firstLine="420"/>
        <w:rPr>
          <w:rFonts w:hint="default"/>
        </w:rPr>
      </w:pPr>
      <w:r>
        <w:t>GB/T 191 包装储运图示标志</w:t>
      </w:r>
    </w:p>
    <w:p w14:paraId="0F463E54">
      <w:pPr>
        <w:pStyle w:val="25"/>
        <w:ind w:firstLine="420"/>
        <w:rPr>
          <w:rFonts w:hint="default"/>
        </w:rPr>
      </w:pPr>
      <w:r>
        <w:t>GB 1350 稻谷</w:t>
      </w:r>
    </w:p>
    <w:p w14:paraId="14D1C4E8">
      <w:pPr>
        <w:pStyle w:val="25"/>
        <w:ind w:firstLine="420"/>
        <w:rPr>
          <w:rFonts w:hint="default"/>
        </w:rPr>
      </w:pPr>
      <w:r>
        <w:t>GB/T 1354 大米</w:t>
      </w:r>
    </w:p>
    <w:p w14:paraId="4E7BA816">
      <w:pPr>
        <w:pStyle w:val="25"/>
        <w:ind w:firstLine="420"/>
        <w:rPr>
          <w:rFonts w:hint="default"/>
        </w:rPr>
      </w:pPr>
      <w:r>
        <w:t>GB 2715 食品安全国家标准 粮食</w:t>
      </w:r>
    </w:p>
    <w:p w14:paraId="78EC297B">
      <w:pPr>
        <w:pStyle w:val="25"/>
        <w:ind w:firstLine="420"/>
        <w:rPr>
          <w:rFonts w:hint="default"/>
        </w:rPr>
      </w:pPr>
      <w:r>
        <w:t xml:space="preserve">GB 2761 食品安全国家标准 食品中真菌毒素限量  </w:t>
      </w:r>
    </w:p>
    <w:p w14:paraId="17005D8E">
      <w:pPr>
        <w:pStyle w:val="25"/>
        <w:ind w:firstLine="420"/>
        <w:rPr>
          <w:rFonts w:hint="default"/>
        </w:rPr>
      </w:pPr>
      <w:r>
        <w:t>GB 2762 食品安全国家标准 食品中污染物限量</w:t>
      </w:r>
    </w:p>
    <w:p w14:paraId="0411CC75">
      <w:pPr>
        <w:pStyle w:val="25"/>
        <w:ind w:firstLine="420"/>
        <w:rPr>
          <w:rFonts w:hint="default"/>
        </w:rPr>
      </w:pPr>
      <w:r>
        <w:t>GB 2763 食品中农药最大残留限量</w:t>
      </w:r>
    </w:p>
    <w:p w14:paraId="39DD5D00">
      <w:pPr>
        <w:pStyle w:val="25"/>
        <w:ind w:firstLine="420"/>
        <w:rPr>
          <w:rFonts w:hint="default"/>
        </w:rPr>
      </w:pPr>
      <w:r>
        <w:t xml:space="preserve">GB 5009.3 食品安全国家标准 食品中水分的测定  </w:t>
      </w:r>
    </w:p>
    <w:p w14:paraId="7C45A130">
      <w:pPr>
        <w:pStyle w:val="25"/>
        <w:ind w:firstLine="420"/>
        <w:rPr>
          <w:rFonts w:hint="default"/>
        </w:rPr>
      </w:pPr>
      <w:r>
        <w:t>GB/T 5490 粮油检验 一般规则</w:t>
      </w:r>
    </w:p>
    <w:p w14:paraId="1645A6A0">
      <w:pPr>
        <w:pStyle w:val="25"/>
        <w:ind w:firstLine="420"/>
        <w:rPr>
          <w:rFonts w:hint="default"/>
        </w:rPr>
      </w:pPr>
      <w:r>
        <w:t>GB/T 5491 粮食、油料检验 扦样、分样法</w:t>
      </w:r>
    </w:p>
    <w:p w14:paraId="09160917">
      <w:pPr>
        <w:pStyle w:val="25"/>
        <w:ind w:firstLine="420"/>
        <w:rPr>
          <w:rFonts w:hint="default"/>
        </w:rPr>
      </w:pPr>
      <w:r>
        <w:t>GB/T 5492 粮油检验 粮食、油料的色泽、气味、口味鉴定</w:t>
      </w:r>
    </w:p>
    <w:p w14:paraId="2D677D57">
      <w:pPr>
        <w:pStyle w:val="25"/>
        <w:ind w:firstLine="420"/>
        <w:rPr>
          <w:rFonts w:hint="default"/>
        </w:rPr>
      </w:pPr>
      <w:r>
        <w:t>GB/T 5493 粮油检验 类型及互混检验</w:t>
      </w:r>
    </w:p>
    <w:p w14:paraId="76403F1B">
      <w:pPr>
        <w:pStyle w:val="25"/>
        <w:ind w:firstLine="420"/>
        <w:rPr>
          <w:rFonts w:hint="default"/>
        </w:rPr>
      </w:pPr>
      <w:r>
        <w:t>GB/T 5494 粮油检验 粮食、油料的杂质、不完善粒检验</w:t>
      </w:r>
    </w:p>
    <w:p w14:paraId="19C1DA1C">
      <w:pPr>
        <w:pStyle w:val="25"/>
        <w:ind w:firstLine="420"/>
        <w:rPr>
          <w:rFonts w:hint="default"/>
        </w:rPr>
      </w:pPr>
      <w:r>
        <w:t>GB/T 5496 粮食、油料检验 黄粒米及裂纹粒检验法</w:t>
      </w:r>
    </w:p>
    <w:p w14:paraId="3CD91BD8">
      <w:pPr>
        <w:pStyle w:val="25"/>
        <w:ind w:firstLine="420"/>
        <w:rPr>
          <w:rFonts w:hint="default"/>
        </w:rPr>
      </w:pPr>
      <w:r>
        <w:t>GB/T 5497 粮食检验 粮食、油料中水分的测定</w:t>
      </w:r>
    </w:p>
    <w:p w14:paraId="700E05BB">
      <w:pPr>
        <w:pStyle w:val="25"/>
        <w:ind w:firstLine="420"/>
        <w:rPr>
          <w:rFonts w:hint="default"/>
        </w:rPr>
      </w:pPr>
      <w:r>
        <w:t>GB/T 5503 粮食、油料检验 碎米检验法</w:t>
      </w:r>
    </w:p>
    <w:p w14:paraId="64FED616">
      <w:pPr>
        <w:pStyle w:val="25"/>
        <w:ind w:firstLine="420"/>
        <w:rPr>
          <w:rFonts w:hint="default"/>
        </w:rPr>
      </w:pPr>
      <w:r>
        <w:t>GB 5749 生活饮用水卫生标准</w:t>
      </w:r>
    </w:p>
    <w:p w14:paraId="1F67ED46">
      <w:pPr>
        <w:pStyle w:val="25"/>
        <w:ind w:firstLine="420"/>
        <w:rPr>
          <w:rFonts w:hint="default"/>
        </w:rPr>
      </w:pPr>
      <w:r>
        <w:t>GB 7718 食品安全国家标准 预包装食品标签通则</w:t>
      </w:r>
    </w:p>
    <w:p w14:paraId="710663C1">
      <w:pPr>
        <w:pStyle w:val="25"/>
        <w:ind w:firstLine="420"/>
        <w:rPr>
          <w:rFonts w:hint="default"/>
        </w:rPr>
      </w:pPr>
      <w:r>
        <w:t>GB 13122 食品安全国家标准 谷物加工卫生规范</w:t>
      </w:r>
    </w:p>
    <w:p w14:paraId="1D2DCE57">
      <w:pPr>
        <w:pStyle w:val="25"/>
        <w:ind w:firstLine="420"/>
        <w:rPr>
          <w:rFonts w:hint="default"/>
        </w:rPr>
      </w:pPr>
      <w:r>
        <w:t>GB 14881 食品安全国家标准 食品生产通用卫生规范</w:t>
      </w:r>
    </w:p>
    <w:p w14:paraId="01519063">
      <w:pPr>
        <w:pStyle w:val="25"/>
        <w:ind w:firstLine="420"/>
        <w:rPr>
          <w:rFonts w:hint="default"/>
        </w:rPr>
      </w:pPr>
      <w:r>
        <w:t>GB/T 15682 粮油检验 稻谷、大米蒸煮食用品质感官评价方法</w:t>
      </w:r>
    </w:p>
    <w:p w14:paraId="311CE2F5">
      <w:pPr>
        <w:pStyle w:val="25"/>
        <w:ind w:firstLine="420"/>
        <w:rPr>
          <w:rFonts w:hint="default"/>
        </w:rPr>
      </w:pPr>
      <w:r>
        <w:t>GB/T 17891 优质稻谷</w:t>
      </w:r>
    </w:p>
    <w:p w14:paraId="3C3BA54D">
      <w:pPr>
        <w:pStyle w:val="25"/>
        <w:ind w:firstLine="420"/>
        <w:rPr>
          <w:rFonts w:hint="default"/>
        </w:rPr>
      </w:pPr>
      <w:r>
        <w:t>GB/T 21719 稻谷整精米率检验法</w:t>
      </w:r>
    </w:p>
    <w:p w14:paraId="57414736">
      <w:pPr>
        <w:pStyle w:val="25"/>
        <w:ind w:firstLine="420"/>
        <w:rPr>
          <w:rFonts w:hint="default"/>
        </w:rPr>
      </w:pPr>
      <w:r>
        <w:t>GB/T 22294 粮油检验 米类胶稠度的测定</w:t>
      </w:r>
    </w:p>
    <w:p w14:paraId="7E55C8AB">
      <w:pPr>
        <w:pStyle w:val="25"/>
        <w:ind w:firstLine="420"/>
        <w:rPr>
          <w:rFonts w:hint="default"/>
        </w:rPr>
      </w:pPr>
      <w:r>
        <w:t>GB/T 26630 大米加工企业良好操作规范</w:t>
      </w:r>
    </w:p>
    <w:p w14:paraId="3C003119">
      <w:pPr>
        <w:pStyle w:val="25"/>
        <w:ind w:firstLine="420"/>
        <w:rPr>
          <w:rFonts w:hint="default"/>
        </w:rPr>
      </w:pPr>
      <w:r>
        <w:t>LS/T 1218  中国好粮油 生产质量控制规范</w:t>
      </w:r>
    </w:p>
    <w:p w14:paraId="6E6851FD">
      <w:pPr>
        <w:pStyle w:val="25"/>
        <w:ind w:firstLine="420"/>
        <w:rPr>
          <w:rFonts w:hint="default"/>
        </w:rPr>
      </w:pPr>
      <w:r>
        <w:t>LS/T 1534 粳米品尝评分参考样品</w:t>
      </w:r>
    </w:p>
    <w:p w14:paraId="331E42CF">
      <w:pPr>
        <w:pStyle w:val="25"/>
        <w:ind w:firstLine="420"/>
        <w:rPr>
          <w:rFonts w:hint="default"/>
        </w:rPr>
      </w:pPr>
      <w:r>
        <w:t>LS/T 3247 中国好粮油 大米</w:t>
      </w:r>
    </w:p>
    <w:p w14:paraId="2AF5C842">
      <w:pPr>
        <w:pStyle w:val="25"/>
        <w:ind w:firstLine="420"/>
        <w:rPr>
          <w:rFonts w:hint="default"/>
        </w:rPr>
      </w:pPr>
      <w:r>
        <w:t>NY/T 2334 稻米整精米率、粒型、垩白粒率、垩白度及透明度的测定 图像法</w:t>
      </w:r>
    </w:p>
    <w:p w14:paraId="32104346">
      <w:pPr>
        <w:pStyle w:val="25"/>
        <w:ind w:firstLine="420"/>
        <w:rPr>
          <w:rFonts w:hint="default"/>
        </w:rPr>
      </w:pPr>
      <w:r>
        <w:t>DB21/T 4258 地理标志产品 桓仁大米</w:t>
      </w:r>
    </w:p>
    <w:p w14:paraId="34F1B038">
      <w:pPr>
        <w:pStyle w:val="72"/>
        <w:spacing w:before="312" w:after="312"/>
        <w:rPr>
          <w:rFonts w:hint="default" w:ascii="宋体" w:eastAsia="宋体" w:cs="宋体"/>
        </w:rPr>
      </w:pPr>
      <w:r>
        <w:t>术语和定义</w:t>
      </w:r>
    </w:p>
    <w:p w14:paraId="37021B60">
      <w:pPr>
        <w:pStyle w:val="25"/>
        <w:ind w:firstLine="420"/>
        <w:rPr>
          <w:rFonts w:hint="default"/>
        </w:rPr>
      </w:pPr>
      <w:r>
        <w:t>GB/T 1354、GB/T 17891、LS/T 3247</w:t>
      </w:r>
      <w:sdt>
        <w:sdtPr>
          <w:tag w:val="TermContent"/>
          <w:id w:val="147479152"/>
          <w:placeholder>
            <w:docPart w:val="{f28ed9ec-b36a-4f31-a22a-50397141ca4c}"/>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r>
            <w:t>界定的以及下列术语和定义适用于本文件。</w:t>
          </w:r>
        </w:sdtContent>
      </w:sdt>
    </w:p>
    <w:p w14:paraId="66E11334">
      <w:pPr>
        <w:pStyle w:val="25"/>
        <w:ind w:firstLine="420"/>
        <w:rPr>
          <w:rFonts w:hint="default"/>
        </w:rPr>
      </w:pPr>
    </w:p>
    <w:p w14:paraId="63AAB038">
      <w:pPr>
        <w:pStyle w:val="73"/>
        <w:spacing w:before="156" w:after="156"/>
        <w:rPr>
          <w:rFonts w:hint="default"/>
        </w:rPr>
      </w:pPr>
    </w:p>
    <w:p w14:paraId="263737A0">
      <w:pPr>
        <w:pStyle w:val="25"/>
        <w:ind w:firstLine="422"/>
        <w:rPr>
          <w:rFonts w:hint="default" w:ascii="Times New Roman" w:cs="Times New Roman"/>
          <w:b/>
          <w:bCs/>
        </w:rPr>
      </w:pPr>
      <w:r>
        <w:rPr>
          <w:b/>
          <w:bCs/>
        </w:rPr>
        <w:t xml:space="preserve">辽宁好粮油 桓仁大米  </w:t>
      </w:r>
      <w:r>
        <w:rPr>
          <w:rFonts w:hint="default" w:ascii="Times New Roman" w:cs="Times New Roman"/>
          <w:b/>
          <w:bCs/>
        </w:rPr>
        <w:t>liaoning good grain &amp; oil -huanren rice</w:t>
      </w:r>
    </w:p>
    <w:p w14:paraId="2F5DC274">
      <w:pPr>
        <w:pStyle w:val="25"/>
        <w:ind w:firstLine="420"/>
        <w:rPr>
          <w:rFonts w:hint="default"/>
        </w:rPr>
      </w:pPr>
      <w:r>
        <w:t>以本溪市桓仁满族自治县区域内种植生产的粳稻谷为原料加工生产的大米。</w:t>
      </w:r>
    </w:p>
    <w:p w14:paraId="3AF9A100">
      <w:pPr>
        <w:pStyle w:val="78"/>
        <w:spacing w:before="0" w:beforeLines="0" w:after="0" w:afterLines="0"/>
      </w:pPr>
      <w:r>
        <w:t xml:space="preserve"> </w:t>
      </w:r>
    </w:p>
    <w:p w14:paraId="15A25412">
      <w:pPr>
        <w:pStyle w:val="78"/>
        <w:numPr>
          <w:ilvl w:val="1"/>
          <w:numId w:val="0"/>
        </w:numPr>
        <w:spacing w:before="0" w:beforeLines="0" w:after="0" w:afterLines="0"/>
        <w:ind w:firstLine="422" w:firstLineChars="200"/>
      </w:pPr>
      <w:r>
        <w:rPr>
          <w:b/>
          <w:bCs/>
        </w:rPr>
        <w:t xml:space="preserve">食味品质 </w:t>
      </w:r>
      <w:r>
        <w:rPr>
          <w:rFonts w:hint="default" w:ascii="Times New Roman" w:hAnsi="Times New Roman" w:cs="Times New Roman"/>
          <w:b/>
          <w:bCs/>
        </w:rPr>
        <w:t>eating quality</w:t>
      </w:r>
    </w:p>
    <w:p w14:paraId="0F7FEC91">
      <w:pPr>
        <w:pStyle w:val="78"/>
        <w:numPr>
          <w:ilvl w:val="1"/>
          <w:numId w:val="0"/>
        </w:numPr>
        <w:spacing w:before="0" w:beforeLines="0" w:after="0" w:afterLines="0"/>
        <w:ind w:firstLine="420" w:firstLineChars="200"/>
      </w:pPr>
      <w:r>
        <w:t>大米按照规定的程序和方法制成的米饭的气味、色泽、外观结构、适口性和滋味等各项因素评分 值的总和，用食味值表示。</w:t>
      </w:r>
    </w:p>
    <w:p w14:paraId="39A328BB">
      <w:pPr>
        <w:pStyle w:val="78"/>
        <w:spacing w:before="0" w:beforeLines="0" w:after="0" w:afterLines="0"/>
      </w:pPr>
    </w:p>
    <w:p w14:paraId="435E4E4C">
      <w:pPr>
        <w:pStyle w:val="78"/>
        <w:numPr>
          <w:ilvl w:val="1"/>
          <w:numId w:val="0"/>
        </w:numPr>
        <w:spacing w:before="0" w:beforeLines="0" w:after="0" w:afterLines="0"/>
      </w:pPr>
      <w:r>
        <w:t xml:space="preserve">   </w:t>
      </w:r>
      <w:r>
        <w:rPr>
          <w:b/>
          <w:bCs/>
        </w:rPr>
        <w:t xml:space="preserve"> 互混 </w:t>
      </w:r>
      <w:r>
        <w:rPr>
          <w:rFonts w:hint="default" w:ascii="Times New Roman" w:hAnsi="Times New Roman" w:cs="Times New Roman"/>
          <w:b/>
          <w:bCs/>
        </w:rPr>
        <w:t>other kind of rice</w:t>
      </w:r>
    </w:p>
    <w:p w14:paraId="13EE9493">
      <w:pPr>
        <w:pStyle w:val="78"/>
        <w:numPr>
          <w:ilvl w:val="1"/>
          <w:numId w:val="0"/>
        </w:numPr>
        <w:spacing w:before="0" w:beforeLines="0" w:after="0" w:afterLines="0"/>
        <w:ind w:firstLine="420" w:firstLineChars="200"/>
      </w:pPr>
      <w:r>
        <w:t>粳米中混入异品种粳米颗粒。</w:t>
      </w:r>
    </w:p>
    <w:p w14:paraId="42C69282">
      <w:pPr>
        <w:pStyle w:val="73"/>
        <w:spacing w:before="156" w:after="156"/>
        <w:rPr>
          <w:rFonts w:hint="default"/>
        </w:rPr>
      </w:pPr>
    </w:p>
    <w:p w14:paraId="56EF6D87">
      <w:pPr>
        <w:pStyle w:val="25"/>
        <w:ind w:firstLine="422"/>
        <w:rPr>
          <w:rFonts w:hint="default" w:ascii="Times New Roman" w:cs="Times New Roman"/>
          <w:b/>
          <w:bCs/>
        </w:rPr>
      </w:pPr>
      <w:r>
        <w:rPr>
          <w:b/>
          <w:bCs/>
        </w:rPr>
        <w:t>安全指数</w:t>
      </w:r>
      <w:r>
        <w:rPr>
          <w:rFonts w:hint="default" w:ascii="Times New Roman" w:cs="Times New Roman"/>
          <w:b/>
          <w:bCs/>
        </w:rPr>
        <w:t>grain safety index</w:t>
      </w:r>
    </w:p>
    <w:p w14:paraId="3A49A7E3">
      <w:pPr>
        <w:pStyle w:val="25"/>
        <w:ind w:firstLine="420"/>
        <w:rPr>
          <w:rFonts w:hint="default" w:ascii="Times New Roman" w:cs="Times New Roman"/>
        </w:rPr>
      </w:pPr>
      <w:r>
        <w:rPr>
          <w:rFonts w:hint="default" w:ascii="Times New Roman" w:cs="Times New Roman"/>
        </w:rPr>
        <w:t>用于综合反映粮食质量安全状况的指数，以粮食中某类安全指标的实测值与国家标准限量值为基础 计算获得，用内梅罗指数（PN）表示。当实测值均在标准限量以内时，PN ≤1，PN 值越小，表示安全状况越好。当实测值有1项超过标准限量时，不需计算安全指数，直接判定不合格。</w:t>
      </w:r>
    </w:p>
    <w:p w14:paraId="36BA931F">
      <w:pPr>
        <w:pStyle w:val="72"/>
        <w:spacing w:before="312" w:after="312"/>
        <w:rPr>
          <w:rFonts w:hint="default"/>
        </w:rPr>
      </w:pPr>
      <w:r>
        <w:t>质量与安全要求</w:t>
      </w:r>
    </w:p>
    <w:p w14:paraId="2EAAD611">
      <w:pPr>
        <w:pStyle w:val="73"/>
        <w:spacing w:before="156" w:after="156"/>
        <w:rPr>
          <w:rFonts w:hint="default"/>
        </w:rPr>
      </w:pPr>
      <w:r>
        <w:t>质量要求</w:t>
      </w:r>
    </w:p>
    <w:p w14:paraId="6AE320CA">
      <w:pPr>
        <w:pStyle w:val="25"/>
        <w:ind w:firstLine="420"/>
        <w:rPr>
          <w:rFonts w:hint="default"/>
        </w:rPr>
      </w:pPr>
      <w:r>
        <w:rPr>
          <w:rFonts w:hint="default"/>
        </w:rPr>
        <w:t>除应符合见表1要求外，其他质量要求应符合GB/T</w:t>
      </w:r>
      <w:r>
        <w:t xml:space="preserve"> </w:t>
      </w:r>
      <w:r>
        <w:rPr>
          <w:rFonts w:hint="default"/>
        </w:rPr>
        <w:t>1354 大米的规定。</w:t>
      </w:r>
    </w:p>
    <w:p w14:paraId="266DE4B0">
      <w:pPr>
        <w:pStyle w:val="113"/>
        <w:numPr>
          <w:ilvl w:val="0"/>
          <w:numId w:val="0"/>
        </w:numPr>
        <w:spacing w:before="156" w:after="156"/>
      </w:pPr>
      <w:r>
        <w:t>表1  质量要求</w:t>
      </w:r>
    </w:p>
    <w:tbl>
      <w:tblPr>
        <w:tblStyle w:val="22"/>
        <w:tblW w:w="956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607"/>
        <w:gridCol w:w="2812"/>
        <w:gridCol w:w="617"/>
        <w:gridCol w:w="1489"/>
        <w:gridCol w:w="1489"/>
        <w:gridCol w:w="1496"/>
      </w:tblGrid>
      <w:tr w14:paraId="78EE4F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vMerge w:val="restart"/>
            <w:vAlign w:val="center"/>
          </w:tcPr>
          <w:p w14:paraId="60EAFECA">
            <w:pPr>
              <w:pStyle w:val="111"/>
              <w:widowControl w:val="0"/>
              <w:snapToGrid w:val="0"/>
              <w:ind w:firstLine="0" w:firstLineChars="0"/>
              <w:rPr>
                <w:rFonts w:hint="default"/>
                <w:bCs/>
                <w:sz w:val="21"/>
                <w:szCs w:val="21"/>
              </w:rPr>
            </w:pPr>
            <w:r>
              <w:rPr>
                <w:bCs/>
                <w:sz w:val="21"/>
                <w:szCs w:val="21"/>
              </w:rPr>
              <w:t>指标类别</w:t>
            </w:r>
          </w:p>
        </w:tc>
        <w:tc>
          <w:tcPr>
            <w:tcW w:w="4036" w:type="dxa"/>
            <w:gridSpan w:val="3"/>
            <w:vMerge w:val="restart"/>
            <w:vAlign w:val="center"/>
          </w:tcPr>
          <w:p w14:paraId="323D76D5">
            <w:pPr>
              <w:pStyle w:val="111"/>
              <w:widowControl w:val="0"/>
              <w:snapToGrid w:val="0"/>
              <w:ind w:firstLine="0" w:firstLineChars="0"/>
              <w:rPr>
                <w:rFonts w:hint="default"/>
                <w:bCs/>
                <w:sz w:val="21"/>
                <w:szCs w:val="21"/>
              </w:rPr>
            </w:pPr>
            <w:r>
              <w:rPr>
                <w:bCs/>
                <w:sz w:val="21"/>
                <w:szCs w:val="21"/>
              </w:rPr>
              <w:t>项    目</w:t>
            </w:r>
          </w:p>
        </w:tc>
        <w:tc>
          <w:tcPr>
            <w:tcW w:w="4474" w:type="dxa"/>
            <w:gridSpan w:val="3"/>
            <w:tcBorders>
              <w:bottom w:val="single" w:color="auto" w:sz="8" w:space="0"/>
            </w:tcBorders>
            <w:vAlign w:val="center"/>
          </w:tcPr>
          <w:p w14:paraId="7B048EFC">
            <w:pPr>
              <w:pStyle w:val="111"/>
              <w:widowControl w:val="0"/>
              <w:snapToGrid w:val="0"/>
              <w:ind w:firstLine="0" w:firstLineChars="0"/>
              <w:rPr>
                <w:rFonts w:hint="default"/>
                <w:bCs/>
                <w:sz w:val="21"/>
                <w:szCs w:val="21"/>
              </w:rPr>
            </w:pPr>
            <w:r>
              <w:rPr>
                <w:bCs/>
                <w:sz w:val="21"/>
                <w:szCs w:val="21"/>
              </w:rPr>
              <w:t>指     标</w:t>
            </w:r>
          </w:p>
        </w:tc>
      </w:tr>
      <w:tr w14:paraId="4FC84F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blHeader/>
          <w:jc w:val="center"/>
        </w:trPr>
        <w:tc>
          <w:tcPr>
            <w:tcW w:w="0" w:type="auto"/>
            <w:vMerge w:val="continue"/>
            <w:vAlign w:val="center"/>
          </w:tcPr>
          <w:p w14:paraId="697D5D5D">
            <w:pPr>
              <w:pStyle w:val="111"/>
              <w:widowControl w:val="0"/>
              <w:snapToGrid w:val="0"/>
              <w:ind w:firstLine="0" w:firstLineChars="0"/>
              <w:rPr>
                <w:rFonts w:hint="default"/>
                <w:bCs/>
                <w:sz w:val="21"/>
                <w:szCs w:val="21"/>
              </w:rPr>
            </w:pPr>
          </w:p>
        </w:tc>
        <w:tc>
          <w:tcPr>
            <w:tcW w:w="4036" w:type="dxa"/>
            <w:gridSpan w:val="3"/>
            <w:vMerge w:val="continue"/>
            <w:vAlign w:val="center"/>
          </w:tcPr>
          <w:p w14:paraId="09739507">
            <w:pPr>
              <w:pStyle w:val="111"/>
              <w:widowControl w:val="0"/>
              <w:snapToGrid w:val="0"/>
              <w:ind w:firstLine="0" w:firstLineChars="0"/>
              <w:rPr>
                <w:rFonts w:hint="default"/>
                <w:bCs/>
                <w:sz w:val="21"/>
                <w:szCs w:val="21"/>
              </w:rPr>
            </w:pPr>
          </w:p>
        </w:tc>
        <w:tc>
          <w:tcPr>
            <w:tcW w:w="1489" w:type="dxa"/>
            <w:tcBorders>
              <w:top w:val="single" w:color="auto" w:sz="8" w:space="0"/>
            </w:tcBorders>
            <w:vAlign w:val="center"/>
          </w:tcPr>
          <w:p w14:paraId="3228D1A9">
            <w:pPr>
              <w:pStyle w:val="121"/>
              <w:snapToGrid w:val="0"/>
              <w:spacing w:before="38"/>
              <w:jc w:val="center"/>
              <w:rPr>
                <w:rFonts w:hint="default"/>
                <w:bCs/>
                <w:szCs w:val="21"/>
              </w:rPr>
            </w:pPr>
            <w:r>
              <w:rPr>
                <w:rFonts w:hAnsi="宋体"/>
                <w:bCs/>
                <w:szCs w:val="21"/>
              </w:rPr>
              <w:t>一级</w:t>
            </w:r>
          </w:p>
        </w:tc>
        <w:tc>
          <w:tcPr>
            <w:tcW w:w="1489" w:type="dxa"/>
            <w:tcBorders>
              <w:top w:val="single" w:color="auto" w:sz="8" w:space="0"/>
            </w:tcBorders>
            <w:vAlign w:val="center"/>
          </w:tcPr>
          <w:p w14:paraId="63000900">
            <w:pPr>
              <w:pStyle w:val="121"/>
              <w:snapToGrid w:val="0"/>
              <w:spacing w:before="38"/>
              <w:jc w:val="center"/>
              <w:rPr>
                <w:rFonts w:hint="default"/>
                <w:bCs/>
                <w:szCs w:val="21"/>
              </w:rPr>
            </w:pPr>
            <w:r>
              <w:rPr>
                <w:rFonts w:hAnsi="宋体"/>
                <w:bCs/>
                <w:szCs w:val="21"/>
              </w:rPr>
              <w:t>二级</w:t>
            </w:r>
          </w:p>
        </w:tc>
        <w:tc>
          <w:tcPr>
            <w:tcW w:w="1496" w:type="dxa"/>
            <w:tcBorders>
              <w:top w:val="single" w:color="auto" w:sz="8" w:space="0"/>
            </w:tcBorders>
            <w:vAlign w:val="center"/>
          </w:tcPr>
          <w:p w14:paraId="13661F37">
            <w:pPr>
              <w:pStyle w:val="121"/>
              <w:snapToGrid w:val="0"/>
              <w:spacing w:before="38"/>
              <w:jc w:val="center"/>
              <w:rPr>
                <w:rFonts w:hint="default"/>
                <w:bCs/>
                <w:szCs w:val="21"/>
              </w:rPr>
            </w:pPr>
            <w:r>
              <w:rPr>
                <w:rFonts w:hAnsi="宋体"/>
                <w:bCs/>
                <w:szCs w:val="21"/>
              </w:rPr>
              <w:t>三级</w:t>
            </w:r>
          </w:p>
        </w:tc>
      </w:tr>
      <w:tr w14:paraId="06D90E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vAlign w:val="center"/>
          </w:tcPr>
          <w:p w14:paraId="52909023">
            <w:pPr>
              <w:pStyle w:val="111"/>
              <w:widowControl w:val="0"/>
              <w:snapToGrid w:val="0"/>
              <w:ind w:firstLine="0" w:firstLineChars="0"/>
              <w:rPr>
                <w:rFonts w:hint="default"/>
                <w:sz w:val="21"/>
                <w:szCs w:val="21"/>
              </w:rPr>
            </w:pPr>
            <w:r>
              <w:rPr>
                <w:sz w:val="21"/>
                <w:szCs w:val="21"/>
              </w:rPr>
              <w:t>定等指标</w:t>
            </w:r>
          </w:p>
        </w:tc>
        <w:tc>
          <w:tcPr>
            <w:tcW w:w="3419" w:type="dxa"/>
            <w:gridSpan w:val="2"/>
            <w:vAlign w:val="center"/>
          </w:tcPr>
          <w:p w14:paraId="0EF65ED1">
            <w:pPr>
              <w:pStyle w:val="111"/>
              <w:widowControl w:val="0"/>
              <w:snapToGrid w:val="0"/>
              <w:ind w:firstLine="0" w:firstLineChars="0"/>
              <w:rPr>
                <w:rFonts w:hint="default"/>
                <w:sz w:val="21"/>
                <w:szCs w:val="21"/>
              </w:rPr>
            </w:pPr>
            <w:r>
              <w:rPr>
                <w:rFonts w:hAnsi="宋体"/>
                <w:sz w:val="21"/>
                <w:szCs w:val="21"/>
              </w:rPr>
              <w:t>食味值/分</w:t>
            </w:r>
          </w:p>
        </w:tc>
        <w:tc>
          <w:tcPr>
            <w:tcW w:w="617" w:type="dxa"/>
            <w:vAlign w:val="center"/>
          </w:tcPr>
          <w:p w14:paraId="1CA03213">
            <w:pPr>
              <w:pStyle w:val="121"/>
              <w:snapToGrid w:val="0"/>
              <w:spacing w:before="93"/>
              <w:jc w:val="center"/>
              <w:rPr>
                <w:rFonts w:hint="default"/>
                <w:szCs w:val="21"/>
              </w:rPr>
            </w:pPr>
            <w:r>
              <w:rPr>
                <w:rFonts w:hAnsi="宋体"/>
                <w:szCs w:val="21"/>
              </w:rPr>
              <w:t>≥</w:t>
            </w:r>
          </w:p>
        </w:tc>
        <w:tc>
          <w:tcPr>
            <w:tcW w:w="1489" w:type="dxa"/>
            <w:vAlign w:val="center"/>
          </w:tcPr>
          <w:p w14:paraId="48ADB494">
            <w:pPr>
              <w:pStyle w:val="121"/>
              <w:snapToGrid w:val="0"/>
              <w:spacing w:before="136"/>
              <w:jc w:val="center"/>
              <w:rPr>
                <w:rFonts w:hint="default"/>
                <w:szCs w:val="21"/>
              </w:rPr>
            </w:pPr>
            <w:r>
              <w:rPr>
                <w:szCs w:val="21"/>
              </w:rPr>
              <w:t>90</w:t>
            </w:r>
          </w:p>
        </w:tc>
        <w:tc>
          <w:tcPr>
            <w:tcW w:w="1489" w:type="dxa"/>
            <w:vAlign w:val="center"/>
          </w:tcPr>
          <w:p w14:paraId="4AF57C03">
            <w:pPr>
              <w:pStyle w:val="121"/>
              <w:snapToGrid w:val="0"/>
              <w:spacing w:before="136"/>
              <w:jc w:val="center"/>
              <w:rPr>
                <w:rFonts w:hint="default"/>
                <w:szCs w:val="21"/>
              </w:rPr>
            </w:pPr>
            <w:r>
              <w:rPr>
                <w:szCs w:val="21"/>
              </w:rPr>
              <w:t>85</w:t>
            </w:r>
          </w:p>
        </w:tc>
        <w:tc>
          <w:tcPr>
            <w:tcW w:w="1496" w:type="dxa"/>
            <w:vAlign w:val="center"/>
          </w:tcPr>
          <w:p w14:paraId="46A36EA8">
            <w:pPr>
              <w:pStyle w:val="121"/>
              <w:snapToGrid w:val="0"/>
              <w:spacing w:before="136"/>
              <w:jc w:val="center"/>
              <w:rPr>
                <w:rFonts w:hint="default"/>
                <w:szCs w:val="21"/>
              </w:rPr>
            </w:pPr>
            <w:r>
              <w:rPr>
                <w:szCs w:val="21"/>
              </w:rPr>
              <w:t>80</w:t>
            </w:r>
          </w:p>
        </w:tc>
      </w:tr>
      <w:tr w14:paraId="3A8782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50130A08">
            <w:pPr>
              <w:pStyle w:val="111"/>
              <w:widowControl w:val="0"/>
              <w:snapToGrid w:val="0"/>
              <w:ind w:firstLine="0" w:firstLineChars="0"/>
              <w:rPr>
                <w:rFonts w:hint="default"/>
                <w:sz w:val="21"/>
                <w:szCs w:val="21"/>
              </w:rPr>
            </w:pPr>
          </w:p>
        </w:tc>
        <w:tc>
          <w:tcPr>
            <w:tcW w:w="607" w:type="dxa"/>
            <w:vMerge w:val="restart"/>
            <w:vAlign w:val="center"/>
          </w:tcPr>
          <w:p w14:paraId="0574C30E">
            <w:pPr>
              <w:pStyle w:val="111"/>
              <w:widowControl w:val="0"/>
              <w:snapToGrid w:val="0"/>
              <w:ind w:firstLine="0" w:firstLineChars="0"/>
              <w:rPr>
                <w:rFonts w:hint="default"/>
                <w:sz w:val="21"/>
                <w:szCs w:val="21"/>
              </w:rPr>
            </w:pPr>
            <w:r>
              <w:rPr>
                <w:sz w:val="21"/>
                <w:szCs w:val="21"/>
              </w:rPr>
              <w:t>碎</w:t>
            </w:r>
          </w:p>
          <w:p w14:paraId="6B6BA402">
            <w:pPr>
              <w:pStyle w:val="111"/>
              <w:widowControl w:val="0"/>
              <w:snapToGrid w:val="0"/>
              <w:ind w:firstLine="0" w:firstLineChars="0"/>
              <w:rPr>
                <w:rFonts w:hint="default"/>
                <w:sz w:val="21"/>
                <w:szCs w:val="21"/>
              </w:rPr>
            </w:pPr>
            <w:r>
              <w:rPr>
                <w:sz w:val="21"/>
                <w:szCs w:val="21"/>
              </w:rPr>
              <w:t>米</w:t>
            </w:r>
          </w:p>
        </w:tc>
        <w:tc>
          <w:tcPr>
            <w:tcW w:w="2812" w:type="dxa"/>
            <w:vAlign w:val="center"/>
          </w:tcPr>
          <w:p w14:paraId="1B7FDC36">
            <w:pPr>
              <w:pStyle w:val="121"/>
              <w:snapToGrid w:val="0"/>
              <w:spacing w:before="93"/>
              <w:jc w:val="left"/>
              <w:rPr>
                <w:rFonts w:hint="default"/>
                <w:szCs w:val="21"/>
              </w:rPr>
            </w:pPr>
            <w:r>
              <w:rPr>
                <w:rFonts w:hAnsi="宋体"/>
                <w:szCs w:val="21"/>
              </w:rPr>
              <w:t>总量/%</w:t>
            </w:r>
          </w:p>
        </w:tc>
        <w:tc>
          <w:tcPr>
            <w:tcW w:w="617" w:type="dxa"/>
            <w:vAlign w:val="center"/>
          </w:tcPr>
          <w:p w14:paraId="132FC449">
            <w:pPr>
              <w:pStyle w:val="121"/>
              <w:snapToGrid w:val="0"/>
              <w:spacing w:before="93"/>
              <w:jc w:val="center"/>
              <w:rPr>
                <w:rFonts w:hint="default"/>
                <w:szCs w:val="21"/>
              </w:rPr>
            </w:pPr>
            <w:r>
              <w:rPr>
                <w:rFonts w:hAnsi="宋体"/>
                <w:szCs w:val="21"/>
              </w:rPr>
              <w:t>≤</w:t>
            </w:r>
          </w:p>
        </w:tc>
        <w:tc>
          <w:tcPr>
            <w:tcW w:w="1489" w:type="dxa"/>
            <w:vAlign w:val="center"/>
          </w:tcPr>
          <w:p w14:paraId="2A89CEA2">
            <w:pPr>
              <w:pStyle w:val="121"/>
              <w:snapToGrid w:val="0"/>
              <w:spacing w:before="135"/>
              <w:jc w:val="center"/>
              <w:rPr>
                <w:rFonts w:hint="default"/>
                <w:szCs w:val="21"/>
              </w:rPr>
            </w:pPr>
            <w:r>
              <w:rPr>
                <w:rFonts w:cs="Times New Roman"/>
                <w:szCs w:val="21"/>
              </w:rPr>
              <w:t>6.0</w:t>
            </w:r>
          </w:p>
        </w:tc>
        <w:tc>
          <w:tcPr>
            <w:tcW w:w="1489" w:type="dxa"/>
            <w:vAlign w:val="center"/>
          </w:tcPr>
          <w:p w14:paraId="03C8D37A">
            <w:pPr>
              <w:pStyle w:val="121"/>
              <w:snapToGrid w:val="0"/>
              <w:spacing w:before="135"/>
              <w:jc w:val="center"/>
              <w:rPr>
                <w:rFonts w:hint="default"/>
                <w:szCs w:val="21"/>
              </w:rPr>
            </w:pPr>
            <w:r>
              <w:rPr>
                <w:szCs w:val="21"/>
              </w:rPr>
              <w:t>6.5</w:t>
            </w:r>
          </w:p>
        </w:tc>
        <w:tc>
          <w:tcPr>
            <w:tcW w:w="1496" w:type="dxa"/>
            <w:vAlign w:val="center"/>
          </w:tcPr>
          <w:p w14:paraId="4A65B2C1">
            <w:pPr>
              <w:pStyle w:val="121"/>
              <w:snapToGrid w:val="0"/>
              <w:spacing w:before="135"/>
              <w:jc w:val="center"/>
              <w:rPr>
                <w:rFonts w:hint="default"/>
                <w:szCs w:val="21"/>
              </w:rPr>
            </w:pPr>
            <w:r>
              <w:rPr>
                <w:szCs w:val="21"/>
              </w:rPr>
              <w:t>7.0</w:t>
            </w:r>
          </w:p>
        </w:tc>
      </w:tr>
      <w:tr w14:paraId="7C7916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B9C15C1">
            <w:pPr>
              <w:pStyle w:val="111"/>
              <w:widowControl w:val="0"/>
              <w:snapToGrid w:val="0"/>
              <w:ind w:firstLine="0" w:firstLineChars="0"/>
              <w:rPr>
                <w:rFonts w:hint="default"/>
                <w:sz w:val="21"/>
                <w:szCs w:val="21"/>
              </w:rPr>
            </w:pPr>
          </w:p>
        </w:tc>
        <w:tc>
          <w:tcPr>
            <w:tcW w:w="607" w:type="dxa"/>
            <w:vMerge w:val="continue"/>
            <w:vAlign w:val="center"/>
          </w:tcPr>
          <w:p w14:paraId="2DFB84C6">
            <w:pPr>
              <w:pStyle w:val="111"/>
              <w:widowControl w:val="0"/>
              <w:snapToGrid w:val="0"/>
              <w:ind w:firstLine="0" w:firstLineChars="0"/>
              <w:rPr>
                <w:rFonts w:hint="default"/>
                <w:sz w:val="21"/>
                <w:szCs w:val="21"/>
              </w:rPr>
            </w:pPr>
          </w:p>
        </w:tc>
        <w:tc>
          <w:tcPr>
            <w:tcW w:w="2812" w:type="dxa"/>
            <w:vAlign w:val="center"/>
          </w:tcPr>
          <w:p w14:paraId="25217CEB">
            <w:pPr>
              <w:pStyle w:val="121"/>
              <w:snapToGrid w:val="0"/>
              <w:spacing w:before="94"/>
              <w:jc w:val="left"/>
              <w:rPr>
                <w:rFonts w:hint="default"/>
                <w:szCs w:val="21"/>
              </w:rPr>
            </w:pPr>
            <w:r>
              <w:rPr>
                <w:rFonts w:hAnsi="宋体"/>
                <w:szCs w:val="21"/>
              </w:rPr>
              <w:t>其中：小碎米含量/%</w:t>
            </w:r>
          </w:p>
        </w:tc>
        <w:tc>
          <w:tcPr>
            <w:tcW w:w="617" w:type="dxa"/>
            <w:vAlign w:val="center"/>
          </w:tcPr>
          <w:p w14:paraId="10C206CF">
            <w:pPr>
              <w:pStyle w:val="121"/>
              <w:snapToGrid w:val="0"/>
              <w:spacing w:before="94"/>
              <w:jc w:val="center"/>
              <w:rPr>
                <w:rFonts w:hint="default"/>
                <w:szCs w:val="21"/>
              </w:rPr>
            </w:pPr>
            <w:r>
              <w:rPr>
                <w:rFonts w:hAnsi="宋体"/>
                <w:szCs w:val="21"/>
              </w:rPr>
              <w:t>≤</w:t>
            </w:r>
          </w:p>
        </w:tc>
        <w:tc>
          <w:tcPr>
            <w:tcW w:w="1489" w:type="dxa"/>
            <w:vAlign w:val="center"/>
          </w:tcPr>
          <w:p w14:paraId="7E8BF8F4">
            <w:pPr>
              <w:pStyle w:val="121"/>
              <w:snapToGrid w:val="0"/>
              <w:spacing w:before="134"/>
              <w:jc w:val="center"/>
              <w:rPr>
                <w:rFonts w:hint="default"/>
                <w:szCs w:val="21"/>
              </w:rPr>
            </w:pPr>
            <w:r>
              <w:rPr>
                <w:szCs w:val="21"/>
              </w:rPr>
              <w:t>0.2</w:t>
            </w:r>
          </w:p>
        </w:tc>
        <w:tc>
          <w:tcPr>
            <w:tcW w:w="1489" w:type="dxa"/>
            <w:vAlign w:val="center"/>
          </w:tcPr>
          <w:p w14:paraId="5ADAACF6">
            <w:pPr>
              <w:pStyle w:val="121"/>
              <w:snapToGrid w:val="0"/>
              <w:spacing w:before="134"/>
              <w:jc w:val="center"/>
              <w:rPr>
                <w:rFonts w:hint="default"/>
                <w:szCs w:val="21"/>
              </w:rPr>
            </w:pPr>
            <w:r>
              <w:rPr>
                <w:szCs w:val="21"/>
              </w:rPr>
              <w:t>0.3</w:t>
            </w:r>
          </w:p>
        </w:tc>
        <w:tc>
          <w:tcPr>
            <w:tcW w:w="1496" w:type="dxa"/>
            <w:vAlign w:val="center"/>
          </w:tcPr>
          <w:p w14:paraId="122A512E">
            <w:pPr>
              <w:pStyle w:val="121"/>
              <w:snapToGrid w:val="0"/>
              <w:spacing w:before="134"/>
              <w:jc w:val="center"/>
              <w:rPr>
                <w:rFonts w:hint="default"/>
                <w:szCs w:val="21"/>
              </w:rPr>
            </w:pPr>
            <w:r>
              <w:rPr>
                <w:szCs w:val="21"/>
              </w:rPr>
              <w:t>0.4</w:t>
            </w:r>
          </w:p>
        </w:tc>
      </w:tr>
      <w:tr w14:paraId="6FDC2B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C5556C0">
            <w:pPr>
              <w:pStyle w:val="111"/>
              <w:widowControl w:val="0"/>
              <w:snapToGrid w:val="0"/>
              <w:ind w:firstLine="0" w:firstLineChars="0"/>
              <w:rPr>
                <w:rFonts w:hint="default"/>
                <w:sz w:val="21"/>
                <w:szCs w:val="21"/>
              </w:rPr>
            </w:pPr>
          </w:p>
        </w:tc>
        <w:tc>
          <w:tcPr>
            <w:tcW w:w="3419" w:type="dxa"/>
            <w:gridSpan w:val="2"/>
            <w:vAlign w:val="center"/>
          </w:tcPr>
          <w:p w14:paraId="00EDF4D2">
            <w:pPr>
              <w:pStyle w:val="111"/>
              <w:widowControl w:val="0"/>
              <w:snapToGrid w:val="0"/>
              <w:ind w:firstLine="0" w:firstLineChars="0"/>
              <w:rPr>
                <w:rFonts w:hint="default"/>
                <w:sz w:val="21"/>
                <w:szCs w:val="21"/>
                <w:highlight w:val="yellow"/>
              </w:rPr>
            </w:pPr>
            <w:r>
              <w:rPr>
                <w:rFonts w:hAnsi="宋体"/>
                <w:sz w:val="21"/>
                <w:szCs w:val="21"/>
                <w:highlight w:val="yellow"/>
              </w:rPr>
              <w:t xml:space="preserve">垩白度/% </w:t>
            </w:r>
          </w:p>
        </w:tc>
        <w:tc>
          <w:tcPr>
            <w:tcW w:w="617" w:type="dxa"/>
            <w:vAlign w:val="center"/>
          </w:tcPr>
          <w:p w14:paraId="43D5D370">
            <w:pPr>
              <w:pStyle w:val="121"/>
              <w:snapToGrid w:val="0"/>
              <w:spacing w:before="93"/>
              <w:jc w:val="center"/>
              <w:rPr>
                <w:rFonts w:hint="default"/>
                <w:szCs w:val="21"/>
                <w:highlight w:val="yellow"/>
              </w:rPr>
            </w:pPr>
            <w:r>
              <w:rPr>
                <w:rFonts w:hAnsi="宋体"/>
                <w:szCs w:val="21"/>
                <w:highlight w:val="yellow"/>
              </w:rPr>
              <w:t>≤</w:t>
            </w:r>
          </w:p>
        </w:tc>
        <w:tc>
          <w:tcPr>
            <w:tcW w:w="1489" w:type="dxa"/>
            <w:vAlign w:val="center"/>
          </w:tcPr>
          <w:p w14:paraId="7D1D3D89">
            <w:pPr>
              <w:pStyle w:val="121"/>
              <w:snapToGrid w:val="0"/>
              <w:spacing w:before="136"/>
              <w:jc w:val="center"/>
              <w:rPr>
                <w:rFonts w:hint="default"/>
                <w:szCs w:val="21"/>
                <w:highlight w:val="yellow"/>
              </w:rPr>
            </w:pPr>
            <w:r>
              <w:rPr>
                <w:szCs w:val="21"/>
                <w:highlight w:val="yellow"/>
              </w:rPr>
              <w:t>3.0</w:t>
            </w:r>
          </w:p>
        </w:tc>
        <w:tc>
          <w:tcPr>
            <w:tcW w:w="1489" w:type="dxa"/>
            <w:vAlign w:val="center"/>
          </w:tcPr>
          <w:p w14:paraId="65CEB1DE">
            <w:pPr>
              <w:pStyle w:val="121"/>
              <w:snapToGrid w:val="0"/>
              <w:spacing w:before="136"/>
              <w:jc w:val="center"/>
              <w:rPr>
                <w:rFonts w:hint="default"/>
                <w:szCs w:val="21"/>
                <w:highlight w:val="yellow"/>
              </w:rPr>
            </w:pPr>
            <w:r>
              <w:rPr>
                <w:szCs w:val="21"/>
                <w:highlight w:val="yellow"/>
              </w:rPr>
              <w:t>5.0</w:t>
            </w:r>
          </w:p>
        </w:tc>
        <w:tc>
          <w:tcPr>
            <w:tcW w:w="1496" w:type="dxa"/>
            <w:vAlign w:val="center"/>
          </w:tcPr>
          <w:p w14:paraId="458A90A7">
            <w:pPr>
              <w:pStyle w:val="121"/>
              <w:snapToGrid w:val="0"/>
              <w:spacing w:before="136"/>
              <w:jc w:val="center"/>
              <w:rPr>
                <w:rFonts w:hint="default"/>
                <w:szCs w:val="21"/>
                <w:highlight w:val="yellow"/>
              </w:rPr>
            </w:pPr>
            <w:r>
              <w:rPr>
                <w:szCs w:val="21"/>
                <w:highlight w:val="yellow"/>
              </w:rPr>
              <w:t>7.0</w:t>
            </w:r>
          </w:p>
        </w:tc>
      </w:tr>
      <w:tr w14:paraId="79432C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6C8E64C9">
            <w:pPr>
              <w:pStyle w:val="111"/>
              <w:widowControl w:val="0"/>
              <w:snapToGrid w:val="0"/>
              <w:ind w:firstLine="0" w:firstLineChars="0"/>
              <w:rPr>
                <w:rFonts w:hint="default"/>
                <w:sz w:val="21"/>
                <w:szCs w:val="21"/>
              </w:rPr>
            </w:pPr>
          </w:p>
        </w:tc>
        <w:tc>
          <w:tcPr>
            <w:tcW w:w="3419" w:type="dxa"/>
            <w:gridSpan w:val="2"/>
            <w:vAlign w:val="center"/>
          </w:tcPr>
          <w:p w14:paraId="2DBD61B1">
            <w:pPr>
              <w:pStyle w:val="111"/>
              <w:widowControl w:val="0"/>
              <w:snapToGrid w:val="0"/>
              <w:ind w:firstLine="0" w:firstLineChars="0"/>
              <w:rPr>
                <w:rFonts w:hint="default"/>
                <w:sz w:val="21"/>
                <w:szCs w:val="21"/>
                <w:highlight w:val="yellow"/>
              </w:rPr>
            </w:pPr>
            <w:r>
              <w:rPr>
                <w:rFonts w:hAnsi="宋体"/>
                <w:sz w:val="21"/>
                <w:szCs w:val="21"/>
                <w:highlight w:val="yellow"/>
              </w:rPr>
              <w:t>垩白粒率</w:t>
            </w:r>
            <w:r>
              <w:rPr>
                <w:rFonts w:hAnsi="宋体"/>
                <w:sz w:val="21"/>
                <w:szCs w:val="21"/>
                <w:highlight w:val="yellow"/>
                <w:vertAlign w:val="superscript"/>
              </w:rPr>
              <w:t>1</w:t>
            </w:r>
            <w:r>
              <w:rPr>
                <w:rFonts w:hAnsi="宋体"/>
                <w:sz w:val="21"/>
                <w:szCs w:val="21"/>
                <w:highlight w:val="yellow"/>
              </w:rPr>
              <w:t>/%</w:t>
            </w:r>
          </w:p>
        </w:tc>
        <w:tc>
          <w:tcPr>
            <w:tcW w:w="617" w:type="dxa"/>
            <w:vAlign w:val="center"/>
          </w:tcPr>
          <w:p w14:paraId="555981B7">
            <w:pPr>
              <w:pStyle w:val="111"/>
              <w:widowControl w:val="0"/>
              <w:snapToGrid w:val="0"/>
              <w:ind w:firstLine="0" w:firstLineChars="0"/>
              <w:rPr>
                <w:rFonts w:hint="default"/>
                <w:sz w:val="21"/>
                <w:szCs w:val="21"/>
                <w:highlight w:val="yellow"/>
              </w:rPr>
            </w:pPr>
            <w:r>
              <w:rPr>
                <w:rFonts w:hAnsi="宋体"/>
                <w:sz w:val="21"/>
                <w:szCs w:val="21"/>
                <w:highlight w:val="yellow"/>
              </w:rPr>
              <w:t>≤</w:t>
            </w:r>
          </w:p>
        </w:tc>
        <w:tc>
          <w:tcPr>
            <w:tcW w:w="1489" w:type="dxa"/>
            <w:vAlign w:val="center"/>
          </w:tcPr>
          <w:p w14:paraId="65D22F15">
            <w:pPr>
              <w:pStyle w:val="121"/>
              <w:snapToGrid w:val="0"/>
              <w:spacing w:before="135"/>
              <w:jc w:val="center"/>
              <w:rPr>
                <w:rFonts w:hint="default" w:cs="Times New Roman"/>
                <w:szCs w:val="21"/>
                <w:highlight w:val="yellow"/>
              </w:rPr>
            </w:pPr>
            <w:r>
              <w:rPr>
                <w:szCs w:val="21"/>
                <w:highlight w:val="yellow"/>
              </w:rPr>
              <w:t>2.0</w:t>
            </w:r>
          </w:p>
        </w:tc>
        <w:tc>
          <w:tcPr>
            <w:tcW w:w="1489" w:type="dxa"/>
            <w:vAlign w:val="center"/>
          </w:tcPr>
          <w:p w14:paraId="4B651E28">
            <w:pPr>
              <w:pStyle w:val="121"/>
              <w:snapToGrid w:val="0"/>
              <w:spacing w:before="135"/>
              <w:jc w:val="center"/>
              <w:rPr>
                <w:rFonts w:hint="default" w:cs="Times New Roman"/>
                <w:szCs w:val="21"/>
                <w:highlight w:val="yellow"/>
              </w:rPr>
            </w:pPr>
            <w:r>
              <w:rPr>
                <w:szCs w:val="21"/>
                <w:highlight w:val="yellow"/>
              </w:rPr>
              <w:t>4.0</w:t>
            </w:r>
          </w:p>
        </w:tc>
        <w:tc>
          <w:tcPr>
            <w:tcW w:w="1496" w:type="dxa"/>
            <w:vAlign w:val="center"/>
          </w:tcPr>
          <w:p w14:paraId="0142C318">
            <w:pPr>
              <w:pStyle w:val="121"/>
              <w:snapToGrid w:val="0"/>
              <w:spacing w:before="135"/>
              <w:jc w:val="center"/>
              <w:rPr>
                <w:rFonts w:hint="default" w:cs="Times New Roman"/>
                <w:szCs w:val="21"/>
                <w:highlight w:val="yellow"/>
              </w:rPr>
            </w:pPr>
            <w:r>
              <w:rPr>
                <w:szCs w:val="21"/>
                <w:highlight w:val="yellow"/>
              </w:rPr>
              <w:t>6.0</w:t>
            </w:r>
          </w:p>
        </w:tc>
      </w:tr>
      <w:tr w14:paraId="370C21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vAlign w:val="center"/>
          </w:tcPr>
          <w:p w14:paraId="20FD3794">
            <w:pPr>
              <w:pStyle w:val="111"/>
              <w:widowControl w:val="0"/>
              <w:snapToGrid w:val="0"/>
              <w:ind w:firstLine="0" w:firstLineChars="0"/>
              <w:rPr>
                <w:rFonts w:hint="default"/>
                <w:sz w:val="21"/>
                <w:szCs w:val="21"/>
              </w:rPr>
            </w:pPr>
            <w:r>
              <w:rPr>
                <w:rFonts w:hAnsi="宋体"/>
                <w:sz w:val="21"/>
                <w:szCs w:val="21"/>
              </w:rPr>
              <w:t>基本指标</w:t>
            </w:r>
          </w:p>
        </w:tc>
        <w:tc>
          <w:tcPr>
            <w:tcW w:w="4036" w:type="dxa"/>
            <w:gridSpan w:val="3"/>
            <w:vAlign w:val="center"/>
          </w:tcPr>
          <w:p w14:paraId="2D49F3C5">
            <w:pPr>
              <w:pStyle w:val="111"/>
              <w:widowControl w:val="0"/>
              <w:snapToGrid w:val="0"/>
              <w:ind w:firstLine="1260" w:firstLineChars="600"/>
              <w:jc w:val="both"/>
              <w:rPr>
                <w:rFonts w:hint="default"/>
                <w:sz w:val="21"/>
                <w:szCs w:val="21"/>
              </w:rPr>
            </w:pPr>
            <w:r>
              <w:rPr>
                <w:rFonts w:hAnsi="宋体"/>
                <w:sz w:val="21"/>
                <w:szCs w:val="21"/>
              </w:rPr>
              <w:t>色泽</w:t>
            </w:r>
          </w:p>
        </w:tc>
        <w:tc>
          <w:tcPr>
            <w:tcW w:w="4474" w:type="dxa"/>
            <w:gridSpan w:val="3"/>
            <w:vAlign w:val="center"/>
          </w:tcPr>
          <w:p w14:paraId="09199F97">
            <w:pPr>
              <w:pStyle w:val="121"/>
              <w:snapToGrid w:val="0"/>
              <w:spacing w:before="94"/>
              <w:jc w:val="center"/>
              <w:rPr>
                <w:rFonts w:hint="default"/>
                <w:szCs w:val="21"/>
              </w:rPr>
            </w:pPr>
            <w:r>
              <w:rPr>
                <w:rFonts w:hAnsi="宋体"/>
                <w:szCs w:val="21"/>
              </w:rPr>
              <w:t>米质半透明，色泽青白</w:t>
            </w:r>
          </w:p>
        </w:tc>
      </w:tr>
      <w:tr w14:paraId="66A59A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6763587A">
            <w:pPr>
              <w:pStyle w:val="111"/>
              <w:widowControl w:val="0"/>
              <w:snapToGrid w:val="0"/>
              <w:ind w:firstLine="0" w:firstLineChars="0"/>
              <w:rPr>
                <w:rFonts w:hint="default"/>
                <w:sz w:val="21"/>
                <w:szCs w:val="21"/>
              </w:rPr>
            </w:pPr>
          </w:p>
        </w:tc>
        <w:tc>
          <w:tcPr>
            <w:tcW w:w="4036" w:type="dxa"/>
            <w:gridSpan w:val="3"/>
            <w:vAlign w:val="center"/>
          </w:tcPr>
          <w:p w14:paraId="6946392D">
            <w:pPr>
              <w:pStyle w:val="111"/>
              <w:widowControl w:val="0"/>
              <w:snapToGrid w:val="0"/>
              <w:ind w:firstLine="1260" w:firstLineChars="600"/>
              <w:jc w:val="both"/>
              <w:rPr>
                <w:rFonts w:hint="default"/>
                <w:sz w:val="21"/>
                <w:szCs w:val="21"/>
              </w:rPr>
            </w:pPr>
            <w:r>
              <w:rPr>
                <w:rFonts w:hAnsi="宋体"/>
                <w:sz w:val="21"/>
                <w:szCs w:val="21"/>
              </w:rPr>
              <w:t>气味</w:t>
            </w:r>
          </w:p>
        </w:tc>
        <w:tc>
          <w:tcPr>
            <w:tcW w:w="4474" w:type="dxa"/>
            <w:gridSpan w:val="3"/>
            <w:vAlign w:val="center"/>
          </w:tcPr>
          <w:p w14:paraId="460C7307">
            <w:pPr>
              <w:pStyle w:val="121"/>
              <w:snapToGrid w:val="0"/>
              <w:spacing w:before="93"/>
              <w:jc w:val="center"/>
              <w:rPr>
                <w:rFonts w:hint="default"/>
                <w:szCs w:val="21"/>
              </w:rPr>
            </w:pPr>
            <w:r>
              <w:rPr>
                <w:rFonts w:hAnsi="宋体"/>
                <w:szCs w:val="21"/>
              </w:rPr>
              <w:t>具有本区域大米固有的自然清香味</w:t>
            </w:r>
          </w:p>
        </w:tc>
      </w:tr>
      <w:tr w14:paraId="15E309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A307A58">
            <w:pPr>
              <w:pStyle w:val="111"/>
              <w:widowControl w:val="0"/>
              <w:snapToGrid w:val="0"/>
              <w:ind w:firstLine="0" w:firstLineChars="0"/>
              <w:rPr>
                <w:rFonts w:hint="default"/>
                <w:sz w:val="21"/>
                <w:szCs w:val="21"/>
              </w:rPr>
            </w:pPr>
          </w:p>
        </w:tc>
        <w:tc>
          <w:tcPr>
            <w:tcW w:w="3419" w:type="dxa"/>
            <w:gridSpan w:val="2"/>
            <w:vAlign w:val="center"/>
          </w:tcPr>
          <w:p w14:paraId="30D273F0">
            <w:pPr>
              <w:pStyle w:val="121"/>
              <w:snapToGrid w:val="0"/>
              <w:spacing w:before="95"/>
              <w:jc w:val="center"/>
              <w:rPr>
                <w:rFonts w:hint="default"/>
                <w:szCs w:val="21"/>
              </w:rPr>
            </w:pPr>
            <w:r>
              <w:rPr>
                <w:rFonts w:hAnsi="宋体"/>
                <w:szCs w:val="21"/>
              </w:rPr>
              <w:t>水分含量</w:t>
            </w:r>
            <w:r>
              <w:rPr>
                <w:rFonts w:hAnsi="宋体"/>
                <w:szCs w:val="21"/>
                <w:vertAlign w:val="superscript"/>
              </w:rPr>
              <w:t>2</w:t>
            </w:r>
            <w:r>
              <w:rPr>
                <w:rFonts w:hAnsi="宋体"/>
                <w:szCs w:val="21"/>
              </w:rPr>
              <w:t>/%</w:t>
            </w:r>
          </w:p>
        </w:tc>
        <w:tc>
          <w:tcPr>
            <w:tcW w:w="617" w:type="dxa"/>
            <w:vAlign w:val="center"/>
          </w:tcPr>
          <w:p w14:paraId="14B67C4E">
            <w:pPr>
              <w:pStyle w:val="121"/>
              <w:snapToGrid w:val="0"/>
              <w:spacing w:before="95"/>
              <w:jc w:val="center"/>
              <w:rPr>
                <w:rFonts w:hint="default"/>
                <w:szCs w:val="21"/>
              </w:rPr>
            </w:pPr>
            <w:r>
              <w:rPr>
                <w:rFonts w:hAnsi="宋体"/>
                <w:szCs w:val="21"/>
              </w:rPr>
              <w:t>≤</w:t>
            </w:r>
          </w:p>
        </w:tc>
        <w:tc>
          <w:tcPr>
            <w:tcW w:w="4474" w:type="dxa"/>
            <w:gridSpan w:val="3"/>
            <w:vAlign w:val="center"/>
          </w:tcPr>
          <w:p w14:paraId="37CB8611">
            <w:pPr>
              <w:pStyle w:val="121"/>
              <w:snapToGrid w:val="0"/>
              <w:spacing w:before="134"/>
              <w:jc w:val="center"/>
              <w:rPr>
                <w:rFonts w:hint="default"/>
                <w:szCs w:val="21"/>
              </w:rPr>
            </w:pPr>
            <w:r>
              <w:rPr>
                <w:szCs w:val="21"/>
              </w:rPr>
              <w:t>15.0</w:t>
            </w:r>
          </w:p>
        </w:tc>
      </w:tr>
      <w:tr w14:paraId="0BACE1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1FCC0B7">
            <w:pPr>
              <w:pStyle w:val="111"/>
              <w:widowControl w:val="0"/>
              <w:snapToGrid w:val="0"/>
              <w:ind w:firstLine="0" w:firstLineChars="0"/>
              <w:rPr>
                <w:rFonts w:hint="default"/>
                <w:sz w:val="21"/>
                <w:szCs w:val="21"/>
              </w:rPr>
            </w:pPr>
          </w:p>
        </w:tc>
        <w:tc>
          <w:tcPr>
            <w:tcW w:w="3419" w:type="dxa"/>
            <w:gridSpan w:val="2"/>
            <w:vAlign w:val="center"/>
          </w:tcPr>
          <w:p w14:paraId="1879F6E3">
            <w:pPr>
              <w:pStyle w:val="121"/>
              <w:snapToGrid w:val="0"/>
              <w:spacing w:before="94"/>
              <w:jc w:val="center"/>
              <w:rPr>
                <w:rFonts w:hint="default"/>
                <w:szCs w:val="21"/>
              </w:rPr>
            </w:pPr>
            <w:r>
              <w:rPr>
                <w:rFonts w:hAnsi="宋体"/>
                <w:szCs w:val="21"/>
              </w:rPr>
              <w:t>不完善粒含/%</w:t>
            </w:r>
          </w:p>
        </w:tc>
        <w:tc>
          <w:tcPr>
            <w:tcW w:w="617" w:type="dxa"/>
            <w:vAlign w:val="center"/>
          </w:tcPr>
          <w:p w14:paraId="1A01241B">
            <w:pPr>
              <w:pStyle w:val="121"/>
              <w:snapToGrid w:val="0"/>
              <w:spacing w:before="94"/>
              <w:jc w:val="center"/>
              <w:rPr>
                <w:rFonts w:hint="default"/>
                <w:szCs w:val="21"/>
              </w:rPr>
            </w:pPr>
            <w:r>
              <w:rPr>
                <w:rFonts w:hAnsi="宋体"/>
                <w:szCs w:val="21"/>
              </w:rPr>
              <w:t>≤</w:t>
            </w:r>
          </w:p>
        </w:tc>
        <w:tc>
          <w:tcPr>
            <w:tcW w:w="4474" w:type="dxa"/>
            <w:gridSpan w:val="3"/>
            <w:vAlign w:val="center"/>
          </w:tcPr>
          <w:p w14:paraId="38D2D7C8">
            <w:pPr>
              <w:pStyle w:val="121"/>
              <w:snapToGrid w:val="0"/>
              <w:spacing w:before="136"/>
              <w:jc w:val="center"/>
              <w:rPr>
                <w:rFonts w:hint="default"/>
                <w:szCs w:val="21"/>
              </w:rPr>
            </w:pPr>
            <w:r>
              <w:rPr>
                <w:szCs w:val="21"/>
              </w:rPr>
              <w:t>1.0</w:t>
            </w:r>
          </w:p>
        </w:tc>
      </w:tr>
      <w:tr w14:paraId="51517B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025127A2">
            <w:pPr>
              <w:pStyle w:val="111"/>
              <w:widowControl w:val="0"/>
              <w:snapToGrid w:val="0"/>
              <w:ind w:firstLine="0" w:firstLineChars="0"/>
              <w:rPr>
                <w:rFonts w:hint="default"/>
                <w:sz w:val="21"/>
                <w:szCs w:val="21"/>
              </w:rPr>
            </w:pPr>
          </w:p>
        </w:tc>
        <w:tc>
          <w:tcPr>
            <w:tcW w:w="3419" w:type="dxa"/>
            <w:gridSpan w:val="2"/>
            <w:vAlign w:val="center"/>
          </w:tcPr>
          <w:p w14:paraId="7E6A3030">
            <w:pPr>
              <w:pStyle w:val="121"/>
              <w:snapToGrid w:val="0"/>
              <w:spacing w:before="74"/>
              <w:jc w:val="center"/>
              <w:rPr>
                <w:rFonts w:hint="default"/>
                <w:szCs w:val="21"/>
              </w:rPr>
            </w:pPr>
            <w:r>
              <w:rPr>
                <w:rFonts w:hAnsi="宋体"/>
                <w:szCs w:val="21"/>
              </w:rPr>
              <w:t>杂质</w:t>
            </w:r>
            <w:r>
              <w:rPr>
                <w:rFonts w:hAnsi="宋体"/>
                <w:szCs w:val="21"/>
                <w:vertAlign w:val="superscript"/>
              </w:rPr>
              <w:t>3</w:t>
            </w:r>
            <w:r>
              <w:rPr>
                <w:rFonts w:hAnsi="宋体"/>
                <w:szCs w:val="21"/>
              </w:rPr>
              <w:t>含量/%</w:t>
            </w:r>
          </w:p>
        </w:tc>
        <w:tc>
          <w:tcPr>
            <w:tcW w:w="617" w:type="dxa"/>
            <w:vAlign w:val="center"/>
          </w:tcPr>
          <w:p w14:paraId="4AC7A670">
            <w:pPr>
              <w:pStyle w:val="121"/>
              <w:snapToGrid w:val="0"/>
              <w:spacing w:before="74"/>
              <w:jc w:val="center"/>
              <w:rPr>
                <w:rFonts w:hint="default"/>
                <w:szCs w:val="21"/>
              </w:rPr>
            </w:pPr>
            <w:r>
              <w:rPr>
                <w:rFonts w:hAnsi="宋体"/>
                <w:szCs w:val="21"/>
              </w:rPr>
              <w:t>≤</w:t>
            </w:r>
          </w:p>
        </w:tc>
        <w:tc>
          <w:tcPr>
            <w:tcW w:w="4474" w:type="dxa"/>
            <w:gridSpan w:val="3"/>
            <w:vAlign w:val="center"/>
          </w:tcPr>
          <w:p w14:paraId="6848F0F9">
            <w:pPr>
              <w:pStyle w:val="121"/>
              <w:snapToGrid w:val="0"/>
              <w:spacing w:before="116"/>
              <w:jc w:val="center"/>
              <w:rPr>
                <w:rFonts w:hint="default"/>
                <w:szCs w:val="21"/>
              </w:rPr>
            </w:pPr>
            <w:r>
              <w:rPr>
                <w:szCs w:val="21"/>
              </w:rPr>
              <w:t>0.1</w:t>
            </w:r>
          </w:p>
        </w:tc>
      </w:tr>
      <w:tr w14:paraId="0AFFCD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E0C8D37">
            <w:pPr>
              <w:pStyle w:val="111"/>
              <w:widowControl w:val="0"/>
              <w:snapToGrid w:val="0"/>
              <w:ind w:firstLine="0" w:firstLineChars="0"/>
              <w:rPr>
                <w:rFonts w:hint="default"/>
                <w:sz w:val="21"/>
                <w:szCs w:val="21"/>
              </w:rPr>
            </w:pPr>
          </w:p>
        </w:tc>
        <w:tc>
          <w:tcPr>
            <w:tcW w:w="3419" w:type="dxa"/>
            <w:gridSpan w:val="2"/>
            <w:vAlign w:val="center"/>
          </w:tcPr>
          <w:p w14:paraId="02924775">
            <w:pPr>
              <w:pStyle w:val="121"/>
              <w:snapToGrid w:val="0"/>
              <w:spacing w:before="74"/>
              <w:jc w:val="center"/>
              <w:rPr>
                <w:rFonts w:hint="default"/>
                <w:szCs w:val="21"/>
              </w:rPr>
            </w:pPr>
            <w:r>
              <w:rPr>
                <w:rFonts w:hAnsi="宋体"/>
                <w:szCs w:val="21"/>
              </w:rPr>
              <w:t>黄粒米含量/%</w:t>
            </w:r>
          </w:p>
        </w:tc>
        <w:tc>
          <w:tcPr>
            <w:tcW w:w="617" w:type="dxa"/>
            <w:vAlign w:val="center"/>
          </w:tcPr>
          <w:p w14:paraId="40CC0A20">
            <w:pPr>
              <w:pStyle w:val="121"/>
              <w:snapToGrid w:val="0"/>
              <w:spacing w:before="74"/>
              <w:jc w:val="center"/>
              <w:rPr>
                <w:rFonts w:hint="default"/>
                <w:szCs w:val="21"/>
              </w:rPr>
            </w:pPr>
            <w:r>
              <w:rPr>
                <w:rFonts w:hAnsi="宋体"/>
                <w:szCs w:val="21"/>
              </w:rPr>
              <w:t>≤</w:t>
            </w:r>
          </w:p>
        </w:tc>
        <w:tc>
          <w:tcPr>
            <w:tcW w:w="4474" w:type="dxa"/>
            <w:gridSpan w:val="3"/>
            <w:vAlign w:val="center"/>
          </w:tcPr>
          <w:p w14:paraId="6EAD576C">
            <w:pPr>
              <w:pStyle w:val="121"/>
              <w:snapToGrid w:val="0"/>
              <w:spacing w:before="74"/>
              <w:jc w:val="center"/>
              <w:rPr>
                <w:rFonts w:hint="default"/>
                <w:szCs w:val="21"/>
              </w:rPr>
            </w:pPr>
            <w:r>
              <w:rPr>
                <w:szCs w:val="21"/>
              </w:rPr>
              <w:t>0.1</w:t>
            </w:r>
          </w:p>
        </w:tc>
      </w:tr>
      <w:tr w14:paraId="01CA7E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2761778">
            <w:pPr>
              <w:pStyle w:val="111"/>
              <w:widowControl w:val="0"/>
              <w:snapToGrid w:val="0"/>
              <w:ind w:firstLine="0" w:firstLineChars="0"/>
              <w:rPr>
                <w:rFonts w:hint="default"/>
                <w:sz w:val="21"/>
                <w:szCs w:val="21"/>
              </w:rPr>
            </w:pPr>
          </w:p>
        </w:tc>
        <w:tc>
          <w:tcPr>
            <w:tcW w:w="3419" w:type="dxa"/>
            <w:gridSpan w:val="2"/>
            <w:vAlign w:val="center"/>
          </w:tcPr>
          <w:p w14:paraId="576F104A">
            <w:pPr>
              <w:pStyle w:val="121"/>
              <w:snapToGrid w:val="0"/>
              <w:spacing w:before="74"/>
              <w:jc w:val="center"/>
              <w:rPr>
                <w:rFonts w:hint="default"/>
                <w:szCs w:val="21"/>
              </w:rPr>
            </w:pPr>
            <w:r>
              <w:rPr>
                <w:rFonts w:hAnsi="宋体"/>
                <w:szCs w:val="21"/>
              </w:rPr>
              <w:t>互混/%</w:t>
            </w:r>
          </w:p>
        </w:tc>
        <w:tc>
          <w:tcPr>
            <w:tcW w:w="617" w:type="dxa"/>
            <w:vAlign w:val="center"/>
          </w:tcPr>
          <w:p w14:paraId="5AD0BB7A">
            <w:pPr>
              <w:pStyle w:val="121"/>
              <w:snapToGrid w:val="0"/>
              <w:spacing w:before="74"/>
              <w:jc w:val="center"/>
              <w:rPr>
                <w:rFonts w:hint="default"/>
                <w:szCs w:val="21"/>
              </w:rPr>
            </w:pPr>
            <w:r>
              <w:rPr>
                <w:rFonts w:hAnsi="宋体"/>
                <w:szCs w:val="21"/>
              </w:rPr>
              <w:t>≤</w:t>
            </w:r>
          </w:p>
        </w:tc>
        <w:tc>
          <w:tcPr>
            <w:tcW w:w="4474" w:type="dxa"/>
            <w:gridSpan w:val="3"/>
            <w:vAlign w:val="center"/>
          </w:tcPr>
          <w:p w14:paraId="14B513EF">
            <w:pPr>
              <w:pStyle w:val="121"/>
              <w:snapToGrid w:val="0"/>
              <w:spacing w:before="74"/>
              <w:jc w:val="center"/>
              <w:rPr>
                <w:rFonts w:hint="default"/>
                <w:szCs w:val="21"/>
              </w:rPr>
            </w:pPr>
            <w:r>
              <w:rPr>
                <w:szCs w:val="21"/>
              </w:rPr>
              <w:t>0</w:t>
            </w:r>
          </w:p>
        </w:tc>
      </w:tr>
      <w:tr w14:paraId="6E30C7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Merge w:val="continue"/>
            <w:vAlign w:val="center"/>
          </w:tcPr>
          <w:p w14:paraId="506E9905">
            <w:pPr>
              <w:pStyle w:val="111"/>
              <w:widowControl w:val="0"/>
              <w:snapToGrid w:val="0"/>
              <w:ind w:firstLine="0" w:firstLineChars="0"/>
              <w:rPr>
                <w:rFonts w:hint="default"/>
                <w:sz w:val="21"/>
                <w:szCs w:val="21"/>
              </w:rPr>
            </w:pPr>
          </w:p>
        </w:tc>
        <w:tc>
          <w:tcPr>
            <w:tcW w:w="3419" w:type="dxa"/>
            <w:gridSpan w:val="2"/>
            <w:vAlign w:val="center"/>
          </w:tcPr>
          <w:p w14:paraId="3DF130E8">
            <w:pPr>
              <w:pStyle w:val="121"/>
              <w:snapToGrid w:val="0"/>
              <w:spacing w:before="74"/>
              <w:jc w:val="center"/>
              <w:rPr>
                <w:rFonts w:hint="default"/>
                <w:szCs w:val="21"/>
              </w:rPr>
            </w:pPr>
            <w:r>
              <w:rPr>
                <w:szCs w:val="21"/>
              </w:rPr>
              <w:t>胶稠度/mm</w:t>
            </w:r>
          </w:p>
        </w:tc>
        <w:tc>
          <w:tcPr>
            <w:tcW w:w="617" w:type="dxa"/>
            <w:vAlign w:val="center"/>
          </w:tcPr>
          <w:p w14:paraId="68EE07D3">
            <w:pPr>
              <w:pStyle w:val="121"/>
              <w:snapToGrid w:val="0"/>
              <w:spacing w:before="74"/>
              <w:jc w:val="center"/>
              <w:rPr>
                <w:rFonts w:hint="default"/>
                <w:szCs w:val="21"/>
                <w:highlight w:val="yellow"/>
              </w:rPr>
            </w:pPr>
            <w:r>
              <w:rPr>
                <w:rFonts w:hAnsi="宋体"/>
                <w:szCs w:val="21"/>
              </w:rPr>
              <w:t>≥</w:t>
            </w:r>
          </w:p>
        </w:tc>
        <w:tc>
          <w:tcPr>
            <w:tcW w:w="4474" w:type="dxa"/>
            <w:gridSpan w:val="3"/>
            <w:vAlign w:val="center"/>
          </w:tcPr>
          <w:p w14:paraId="0EAF17CD">
            <w:pPr>
              <w:pStyle w:val="111"/>
              <w:widowControl w:val="0"/>
              <w:snapToGrid w:val="0"/>
              <w:ind w:firstLine="0" w:firstLineChars="0"/>
              <w:rPr>
                <w:rFonts w:hint="default"/>
                <w:sz w:val="21"/>
                <w:szCs w:val="21"/>
                <w:highlight w:val="yellow"/>
              </w:rPr>
            </w:pPr>
            <w:r>
              <w:rPr>
                <w:sz w:val="21"/>
                <w:szCs w:val="21"/>
                <w:highlight w:val="yellow"/>
              </w:rPr>
              <w:t>60</w:t>
            </w:r>
          </w:p>
        </w:tc>
      </w:tr>
      <w:tr w14:paraId="7DD78C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9566" w:type="dxa"/>
            <w:gridSpan w:val="7"/>
            <w:vAlign w:val="center"/>
          </w:tcPr>
          <w:p w14:paraId="605E692C">
            <w:pPr>
              <w:pStyle w:val="111"/>
              <w:widowControl w:val="0"/>
              <w:snapToGrid w:val="0"/>
              <w:ind w:firstLine="0" w:firstLineChars="0"/>
              <w:jc w:val="left"/>
              <w:rPr>
                <w:rFonts w:hint="default"/>
                <w:szCs w:val="18"/>
              </w:rPr>
            </w:pPr>
            <w:r>
              <w:rPr>
                <w:rFonts w:hint="default"/>
                <w:szCs w:val="18"/>
              </w:rPr>
              <w:t>注 1：仅计算垩白面积不小于米粒投影面积二分之一的垩白粒数占试样整精米粒总数的比例；</w:t>
            </w:r>
          </w:p>
          <w:p w14:paraId="20F5A403">
            <w:pPr>
              <w:pStyle w:val="111"/>
              <w:widowControl w:val="0"/>
              <w:snapToGrid w:val="0"/>
              <w:ind w:firstLine="0" w:firstLineChars="0"/>
              <w:jc w:val="left"/>
              <w:rPr>
                <w:rFonts w:hint="default"/>
                <w:szCs w:val="18"/>
              </w:rPr>
            </w:pPr>
            <w:r>
              <w:rPr>
                <w:rFonts w:hint="default"/>
                <w:szCs w:val="18"/>
              </w:rPr>
              <w:t xml:space="preserve">注 2：企业应根据产品销售区域，在此限量的基础上确定产品在一定期限内能够安全保质的水分含量的最大限量； </w:t>
            </w:r>
          </w:p>
          <w:p w14:paraId="0AA1D791">
            <w:pPr>
              <w:pStyle w:val="111"/>
              <w:widowControl w:val="0"/>
              <w:snapToGrid w:val="0"/>
              <w:ind w:firstLine="0" w:firstLineChars="0"/>
              <w:jc w:val="left"/>
              <w:rPr>
                <w:rFonts w:hint="default"/>
                <w:sz w:val="21"/>
                <w:szCs w:val="21"/>
              </w:rPr>
            </w:pPr>
            <w:r>
              <w:rPr>
                <w:rFonts w:hint="default"/>
                <w:szCs w:val="18"/>
              </w:rPr>
              <w:t>注</w:t>
            </w:r>
            <w:r>
              <w:rPr>
                <w:szCs w:val="18"/>
              </w:rPr>
              <w:t xml:space="preserve"> </w:t>
            </w:r>
            <w:r>
              <w:rPr>
                <w:rFonts w:hint="default"/>
                <w:szCs w:val="18"/>
              </w:rPr>
              <w:t>3：杂质中砂土、石子、玻璃、塑料、动物源性杂质等不得检出。</w:t>
            </w:r>
          </w:p>
        </w:tc>
      </w:tr>
    </w:tbl>
    <w:p w14:paraId="512E2968">
      <w:pPr>
        <w:pStyle w:val="25"/>
        <w:ind w:firstLine="420"/>
        <w:rPr>
          <w:rFonts w:hint="default"/>
        </w:rPr>
      </w:pPr>
    </w:p>
    <w:p w14:paraId="72F766E6">
      <w:pPr>
        <w:pStyle w:val="73"/>
        <w:spacing w:before="156" w:after="156"/>
        <w:rPr>
          <w:rFonts w:hint="default"/>
        </w:rPr>
      </w:pPr>
      <w:r>
        <w:t>安全要求</w:t>
      </w:r>
    </w:p>
    <w:p w14:paraId="183389E1">
      <w:pPr>
        <w:pStyle w:val="74"/>
        <w:spacing w:before="156" w:after="156"/>
      </w:pPr>
      <w:r>
        <w:t>食品安全要求</w:t>
      </w:r>
    </w:p>
    <w:p w14:paraId="0C3D4E30">
      <w:pPr>
        <w:pStyle w:val="75"/>
        <w:spacing w:before="156" w:after="156"/>
        <w:rPr>
          <w:rFonts w:ascii="宋体" w:hAnsi="宋体" w:eastAsia="宋体" w:cs="宋体"/>
        </w:rPr>
      </w:pPr>
      <w:r>
        <w:rPr>
          <w:rFonts w:ascii="宋体" w:hAnsi="宋体" w:eastAsia="宋体" w:cs="宋体"/>
        </w:rPr>
        <w:t>感官要求、有毒有害菌类、植物种子指标按 GB 2715 规定执行。</w:t>
      </w:r>
    </w:p>
    <w:p w14:paraId="26ED4BEC">
      <w:pPr>
        <w:pStyle w:val="75"/>
        <w:spacing w:before="156" w:after="156"/>
        <w:rPr>
          <w:rFonts w:ascii="宋体" w:hAnsi="宋体" w:eastAsia="宋体" w:cs="宋体"/>
        </w:rPr>
      </w:pPr>
      <w:r>
        <w:rPr>
          <w:rFonts w:ascii="宋体" w:hAnsi="宋体" w:eastAsia="宋体" w:cs="宋体"/>
        </w:rPr>
        <w:t>安全指数（PN）以 GB 2761、GB 2762、GB 2763 的限量为基础计算，安全指数要求见表 2。</w:t>
      </w:r>
    </w:p>
    <w:p w14:paraId="78867752">
      <w:pPr>
        <w:pStyle w:val="113"/>
        <w:numPr>
          <w:ilvl w:val="0"/>
          <w:numId w:val="0"/>
        </w:numPr>
        <w:spacing w:before="156" w:after="156"/>
      </w:pPr>
      <w:r>
        <w:t>表2  安全指数要求</w:t>
      </w:r>
    </w:p>
    <w:tbl>
      <w:tblPr>
        <w:tblStyle w:val="2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5"/>
      </w:tblGrid>
      <w:tr w14:paraId="7D9486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bottom w:val="single" w:color="auto" w:sz="8" w:space="0"/>
            </w:tcBorders>
          </w:tcPr>
          <w:p w14:paraId="599C75C8">
            <w:pPr>
              <w:pStyle w:val="111"/>
              <w:widowControl w:val="0"/>
              <w:ind w:firstLine="420"/>
              <w:rPr>
                <w:rFonts w:hint="default"/>
                <w:sz w:val="21"/>
                <w:szCs w:val="21"/>
              </w:rPr>
            </w:pPr>
            <w:r>
              <w:rPr>
                <w:sz w:val="21"/>
                <w:szCs w:val="21"/>
              </w:rPr>
              <w:t>项    目</w:t>
            </w:r>
          </w:p>
        </w:tc>
        <w:tc>
          <w:tcPr>
            <w:tcW w:w="2500" w:type="pct"/>
            <w:tcBorders>
              <w:bottom w:val="single" w:color="auto" w:sz="8" w:space="0"/>
            </w:tcBorders>
          </w:tcPr>
          <w:p w14:paraId="625F5032">
            <w:pPr>
              <w:pStyle w:val="111"/>
              <w:widowControl w:val="0"/>
              <w:ind w:firstLine="420"/>
              <w:rPr>
                <w:rFonts w:hint="default"/>
                <w:sz w:val="21"/>
                <w:szCs w:val="21"/>
              </w:rPr>
            </w:pPr>
            <w:r>
              <w:rPr>
                <w:sz w:val="21"/>
                <w:szCs w:val="21"/>
              </w:rPr>
              <w:t>指     数</w:t>
            </w:r>
          </w:p>
        </w:tc>
      </w:tr>
      <w:tr w14:paraId="3E7D6E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single" w:color="auto" w:sz="8" w:space="0"/>
            </w:tcBorders>
          </w:tcPr>
          <w:p w14:paraId="45F8AB66">
            <w:pPr>
              <w:pStyle w:val="121"/>
              <w:spacing w:before="46"/>
              <w:ind w:left="104"/>
              <w:jc w:val="left"/>
              <w:rPr>
                <w:rFonts w:hint="default" w:ascii="Times New Roman" w:cs="Times New Roman"/>
                <w:szCs w:val="21"/>
              </w:rPr>
            </w:pPr>
            <w:r>
              <w:rPr>
                <w:rFonts w:hint="default" w:ascii="Times New Roman" w:cs="Times New Roman"/>
                <w:position w:val="2"/>
                <w:szCs w:val="21"/>
              </w:rPr>
              <w:t>P</w:t>
            </w:r>
            <w:r>
              <w:rPr>
                <w:rFonts w:hint="default" w:ascii="Times New Roman" w:cs="Times New Roman"/>
                <w:szCs w:val="21"/>
              </w:rPr>
              <w:t>N</w:t>
            </w:r>
            <w:r>
              <w:rPr>
                <w:rFonts w:ascii="Times New Roman" w:cs="Times New Roman"/>
                <w:szCs w:val="21"/>
                <w:vertAlign w:val="subscript"/>
              </w:rPr>
              <w:t>真菌毒素</w:t>
            </w:r>
          </w:p>
        </w:tc>
        <w:tc>
          <w:tcPr>
            <w:tcW w:w="2500" w:type="pct"/>
            <w:tcBorders>
              <w:top w:val="single" w:color="auto" w:sz="8" w:space="0"/>
            </w:tcBorders>
          </w:tcPr>
          <w:p w14:paraId="6FD44C3B">
            <w:pPr>
              <w:pStyle w:val="121"/>
              <w:spacing w:before="53"/>
              <w:jc w:val="center"/>
              <w:rPr>
                <w:rFonts w:hint="default"/>
              </w:rPr>
            </w:pPr>
            <w:r>
              <w:rPr>
                <w:rFonts w:ascii="Times New Roman"/>
                <w:sz w:val="18"/>
              </w:rPr>
              <w:t>0.5</w:t>
            </w:r>
          </w:p>
        </w:tc>
      </w:tr>
      <w:tr w14:paraId="0CF556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Pr>
          <w:p w14:paraId="6CF26F95">
            <w:pPr>
              <w:pStyle w:val="121"/>
              <w:spacing w:before="46"/>
              <w:ind w:left="104"/>
              <w:jc w:val="left"/>
              <w:rPr>
                <w:rFonts w:hint="default" w:ascii="Times New Roman" w:cs="Times New Roman"/>
                <w:szCs w:val="21"/>
              </w:rPr>
            </w:pPr>
            <w:r>
              <w:rPr>
                <w:rFonts w:hint="default" w:ascii="Times New Roman" w:cs="Times New Roman"/>
                <w:position w:val="2"/>
                <w:szCs w:val="21"/>
              </w:rPr>
              <w:t>P</w:t>
            </w:r>
            <w:r>
              <w:rPr>
                <w:rFonts w:hint="default" w:ascii="Times New Roman" w:cs="Times New Roman"/>
                <w:szCs w:val="21"/>
              </w:rPr>
              <w:t>N</w:t>
            </w:r>
            <w:r>
              <w:rPr>
                <w:rFonts w:ascii="Times New Roman" w:cs="Times New Roman"/>
                <w:szCs w:val="21"/>
                <w:vertAlign w:val="subscript"/>
              </w:rPr>
              <w:t>污染物</w:t>
            </w:r>
          </w:p>
        </w:tc>
        <w:tc>
          <w:tcPr>
            <w:tcW w:w="2500" w:type="pct"/>
          </w:tcPr>
          <w:p w14:paraId="2BAFA90E">
            <w:pPr>
              <w:pStyle w:val="121"/>
              <w:spacing w:before="52"/>
              <w:jc w:val="center"/>
              <w:rPr>
                <w:rFonts w:hint="default"/>
              </w:rPr>
            </w:pPr>
            <w:r>
              <w:rPr>
                <w:rFonts w:ascii="Times New Roman"/>
                <w:sz w:val="18"/>
              </w:rPr>
              <w:t>0.7</w:t>
            </w:r>
          </w:p>
        </w:tc>
      </w:tr>
      <w:tr w14:paraId="233B17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Pr>
          <w:p w14:paraId="3B0CF2D7">
            <w:pPr>
              <w:pStyle w:val="121"/>
              <w:spacing w:before="46"/>
              <w:ind w:left="104"/>
              <w:jc w:val="left"/>
              <w:rPr>
                <w:rFonts w:hint="default" w:ascii="Times New Roman" w:cs="Times New Roman"/>
                <w:szCs w:val="21"/>
              </w:rPr>
            </w:pPr>
            <w:r>
              <w:rPr>
                <w:rFonts w:hint="default" w:ascii="Times New Roman" w:cs="Times New Roman"/>
                <w:position w:val="2"/>
                <w:szCs w:val="21"/>
              </w:rPr>
              <w:t>P</w:t>
            </w:r>
            <w:r>
              <w:rPr>
                <w:rFonts w:hint="default" w:ascii="Times New Roman" w:cs="Times New Roman"/>
                <w:szCs w:val="21"/>
              </w:rPr>
              <w:t>N</w:t>
            </w:r>
            <w:r>
              <w:rPr>
                <w:rFonts w:ascii="Times New Roman" w:cs="Times New Roman"/>
                <w:szCs w:val="21"/>
                <w:vertAlign w:val="subscript"/>
              </w:rPr>
              <w:t>农药残留</w:t>
            </w:r>
          </w:p>
        </w:tc>
        <w:tc>
          <w:tcPr>
            <w:tcW w:w="2500" w:type="pct"/>
          </w:tcPr>
          <w:p w14:paraId="7ACCF0B4">
            <w:pPr>
              <w:pStyle w:val="121"/>
              <w:spacing w:before="46"/>
              <w:jc w:val="center"/>
              <w:rPr>
                <w:rFonts w:hint="default"/>
              </w:rPr>
            </w:pPr>
            <w:r>
              <w:rPr>
                <w:rFonts w:ascii="Calibri"/>
                <w:sz w:val="18"/>
              </w:rPr>
              <w:t>0.5</w:t>
            </w:r>
          </w:p>
        </w:tc>
      </w:tr>
      <w:tr w14:paraId="200E2B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Pr>
          <w:p w14:paraId="2D13FC49">
            <w:pPr>
              <w:pStyle w:val="121"/>
              <w:spacing w:before="46"/>
              <w:ind w:left="104"/>
              <w:jc w:val="left"/>
              <w:rPr>
                <w:rFonts w:hint="default" w:ascii="Times New Roman" w:cs="Times New Roman"/>
                <w:position w:val="2"/>
                <w:szCs w:val="21"/>
              </w:rPr>
            </w:pPr>
            <w:r>
              <w:rPr>
                <w:rFonts w:hint="default" w:ascii="Times New Roman" w:cs="Times New Roman"/>
                <w:position w:val="2"/>
                <w:szCs w:val="21"/>
              </w:rPr>
              <w:t>三唑磷</w:t>
            </w:r>
            <w:r>
              <w:rPr>
                <w:rFonts w:ascii="Times New Roman" w:cs="Times New Roman"/>
                <w:position w:val="2"/>
                <w:szCs w:val="21"/>
              </w:rPr>
              <w:t>/mg/kg</w:t>
            </w:r>
            <w:r>
              <w:rPr>
                <w:rFonts w:hint="default" w:ascii="Times New Roman" w:cs="Times New Roman"/>
                <w:position w:val="2"/>
                <w:szCs w:val="21"/>
              </w:rPr>
              <w:t xml:space="preserve"> </w:t>
            </w:r>
          </w:p>
        </w:tc>
        <w:tc>
          <w:tcPr>
            <w:tcW w:w="2500" w:type="pct"/>
          </w:tcPr>
          <w:p w14:paraId="72C238E9">
            <w:pPr>
              <w:pStyle w:val="121"/>
              <w:spacing w:before="46"/>
              <w:jc w:val="center"/>
              <w:rPr>
                <w:rFonts w:hint="default" w:ascii="Calibri"/>
                <w:sz w:val="18"/>
              </w:rPr>
            </w:pPr>
            <w:r>
              <w:rPr>
                <w:rFonts w:hint="default" w:ascii="Times New Roman" w:cs="Times New Roman"/>
                <w:position w:val="2"/>
                <w:szCs w:val="21"/>
              </w:rPr>
              <w:t>0.6</w:t>
            </w:r>
          </w:p>
        </w:tc>
      </w:tr>
      <w:tr w14:paraId="5C979D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Pr>
          <w:p w14:paraId="5AB7B827">
            <w:pPr>
              <w:pStyle w:val="121"/>
              <w:spacing w:before="46"/>
              <w:ind w:left="104"/>
              <w:jc w:val="left"/>
              <w:rPr>
                <w:rFonts w:hint="default" w:ascii="Times New Roman" w:cs="Times New Roman"/>
                <w:position w:val="2"/>
                <w:szCs w:val="21"/>
              </w:rPr>
            </w:pPr>
            <w:r>
              <w:rPr>
                <w:rFonts w:hint="default" w:ascii="Times New Roman" w:cs="Times New Roman"/>
                <w:position w:val="2"/>
                <w:szCs w:val="21"/>
              </w:rPr>
              <w:t>戊唑醇</w:t>
            </w:r>
            <w:r>
              <w:rPr>
                <w:rFonts w:ascii="Times New Roman" w:cs="Times New Roman"/>
                <w:position w:val="2"/>
                <w:szCs w:val="21"/>
              </w:rPr>
              <w:t>/mg/kg</w:t>
            </w:r>
            <w:r>
              <w:rPr>
                <w:rFonts w:hint="default" w:ascii="Times New Roman" w:cs="Times New Roman"/>
                <w:position w:val="2"/>
                <w:szCs w:val="21"/>
              </w:rPr>
              <w:t xml:space="preserve"> </w:t>
            </w:r>
          </w:p>
        </w:tc>
        <w:tc>
          <w:tcPr>
            <w:tcW w:w="2500" w:type="pct"/>
          </w:tcPr>
          <w:p w14:paraId="55208B94">
            <w:pPr>
              <w:pStyle w:val="121"/>
              <w:spacing w:before="46"/>
              <w:jc w:val="center"/>
              <w:rPr>
                <w:rFonts w:hint="default" w:ascii="Calibri"/>
                <w:sz w:val="18"/>
              </w:rPr>
            </w:pPr>
            <w:r>
              <w:rPr>
                <w:rFonts w:hint="default" w:ascii="Times New Roman" w:cs="Times New Roman"/>
                <w:position w:val="2"/>
                <w:szCs w:val="21"/>
              </w:rPr>
              <w:t xml:space="preserve">0.5 </w:t>
            </w:r>
          </w:p>
        </w:tc>
      </w:tr>
      <w:tr w14:paraId="33DD73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Pr>
          <w:p w14:paraId="3F891226">
            <w:pPr>
              <w:pStyle w:val="121"/>
              <w:spacing w:before="46"/>
              <w:ind w:left="104"/>
              <w:jc w:val="left"/>
              <w:rPr>
                <w:rFonts w:hint="default" w:ascii="Times New Roman" w:cs="Times New Roman"/>
                <w:position w:val="2"/>
                <w:szCs w:val="21"/>
              </w:rPr>
            </w:pPr>
            <w:r>
              <w:rPr>
                <w:rFonts w:hint="default" w:ascii="Times New Roman" w:cs="Times New Roman"/>
                <w:position w:val="2"/>
                <w:szCs w:val="21"/>
              </w:rPr>
              <w:t>苯醚甲环唑（糙米）</w:t>
            </w:r>
            <w:r>
              <w:rPr>
                <w:rFonts w:ascii="Times New Roman" w:cs="Times New Roman"/>
                <w:position w:val="2"/>
                <w:szCs w:val="21"/>
              </w:rPr>
              <w:t>/mg/kg</w:t>
            </w:r>
            <w:r>
              <w:rPr>
                <w:rFonts w:hint="default" w:ascii="Times New Roman" w:cs="Times New Roman"/>
                <w:position w:val="2"/>
                <w:szCs w:val="21"/>
              </w:rPr>
              <w:t xml:space="preserve"> </w:t>
            </w:r>
          </w:p>
        </w:tc>
        <w:tc>
          <w:tcPr>
            <w:tcW w:w="2500" w:type="pct"/>
          </w:tcPr>
          <w:p w14:paraId="088A11E7">
            <w:pPr>
              <w:pStyle w:val="121"/>
              <w:spacing w:before="46"/>
              <w:jc w:val="center"/>
              <w:rPr>
                <w:rFonts w:hint="default" w:ascii="Calibri"/>
                <w:sz w:val="18"/>
              </w:rPr>
            </w:pPr>
            <w:r>
              <w:rPr>
                <w:rFonts w:hint="default" w:ascii="Times New Roman" w:cs="Times New Roman"/>
                <w:position w:val="2"/>
                <w:szCs w:val="21"/>
              </w:rPr>
              <w:t>0.5</w:t>
            </w:r>
          </w:p>
        </w:tc>
      </w:tr>
      <w:tr w14:paraId="5B7B4C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Pr>
          <w:p w14:paraId="5194ADE4">
            <w:pPr>
              <w:pStyle w:val="121"/>
              <w:spacing w:before="46"/>
              <w:ind w:left="104"/>
              <w:jc w:val="left"/>
              <w:rPr>
                <w:rFonts w:hint="default" w:ascii="Times New Roman" w:cs="Times New Roman"/>
                <w:position w:val="2"/>
                <w:szCs w:val="21"/>
              </w:rPr>
            </w:pPr>
            <w:r>
              <w:rPr>
                <w:rFonts w:hint="default" w:ascii="Times New Roman" w:cs="Times New Roman"/>
                <w:position w:val="2"/>
                <w:szCs w:val="21"/>
              </w:rPr>
              <w:t>嘧菌酯（糙米）</w:t>
            </w:r>
            <w:r>
              <w:rPr>
                <w:rFonts w:ascii="Times New Roman" w:cs="Times New Roman"/>
                <w:position w:val="2"/>
                <w:szCs w:val="21"/>
              </w:rPr>
              <w:t>/mg/kg</w:t>
            </w:r>
            <w:r>
              <w:rPr>
                <w:rFonts w:hint="default" w:ascii="Times New Roman" w:cs="Times New Roman"/>
                <w:position w:val="2"/>
                <w:szCs w:val="21"/>
              </w:rPr>
              <w:t xml:space="preserve"> </w:t>
            </w:r>
          </w:p>
        </w:tc>
        <w:tc>
          <w:tcPr>
            <w:tcW w:w="2500" w:type="pct"/>
          </w:tcPr>
          <w:p w14:paraId="4FDFE5AF">
            <w:pPr>
              <w:pStyle w:val="121"/>
              <w:spacing w:before="46"/>
              <w:jc w:val="center"/>
              <w:rPr>
                <w:rFonts w:hint="default" w:ascii="Calibri"/>
                <w:sz w:val="18"/>
              </w:rPr>
            </w:pPr>
            <w:r>
              <w:rPr>
                <w:rFonts w:hint="default" w:ascii="Times New Roman" w:cs="Times New Roman"/>
                <w:position w:val="2"/>
                <w:szCs w:val="21"/>
              </w:rPr>
              <w:t>0.5</w:t>
            </w:r>
          </w:p>
        </w:tc>
      </w:tr>
      <w:tr w14:paraId="406218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Pr>
          <w:p w14:paraId="24441970">
            <w:pPr>
              <w:pStyle w:val="121"/>
              <w:spacing w:before="46"/>
              <w:ind w:left="104"/>
              <w:jc w:val="left"/>
              <w:rPr>
                <w:rFonts w:hint="default" w:ascii="Times New Roman" w:cs="Times New Roman"/>
                <w:position w:val="2"/>
                <w:szCs w:val="21"/>
              </w:rPr>
            </w:pPr>
            <w:r>
              <w:rPr>
                <w:rFonts w:hint="default" w:ascii="Times New Roman" w:cs="Times New Roman"/>
                <w:position w:val="2"/>
                <w:szCs w:val="21"/>
              </w:rPr>
              <w:t xml:space="preserve"> 甲霜灵（糙米）</w:t>
            </w:r>
            <w:r>
              <w:rPr>
                <w:rFonts w:ascii="Times New Roman" w:cs="Times New Roman"/>
                <w:position w:val="2"/>
                <w:szCs w:val="21"/>
              </w:rPr>
              <w:t>/mg/kg</w:t>
            </w:r>
            <w:r>
              <w:rPr>
                <w:rFonts w:hint="default" w:ascii="Times New Roman" w:cs="Times New Roman"/>
                <w:position w:val="2"/>
                <w:szCs w:val="21"/>
              </w:rPr>
              <w:t xml:space="preserve"> </w:t>
            </w:r>
          </w:p>
        </w:tc>
        <w:tc>
          <w:tcPr>
            <w:tcW w:w="2500" w:type="pct"/>
          </w:tcPr>
          <w:p w14:paraId="6390ADA2">
            <w:pPr>
              <w:pStyle w:val="121"/>
              <w:spacing w:before="46"/>
              <w:jc w:val="center"/>
              <w:rPr>
                <w:rFonts w:hint="default" w:ascii="Calibri"/>
                <w:sz w:val="18"/>
              </w:rPr>
            </w:pPr>
            <w:r>
              <w:rPr>
                <w:rFonts w:hint="default" w:ascii="Times New Roman" w:cs="Times New Roman"/>
                <w:position w:val="2"/>
                <w:szCs w:val="21"/>
              </w:rPr>
              <w:t>0.1</w:t>
            </w:r>
          </w:p>
        </w:tc>
      </w:tr>
      <w:tr w14:paraId="14C268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Pr>
          <w:p w14:paraId="0E5DB74E">
            <w:pPr>
              <w:pStyle w:val="121"/>
              <w:spacing w:before="46"/>
              <w:ind w:left="104"/>
              <w:jc w:val="left"/>
              <w:rPr>
                <w:rFonts w:hint="default" w:ascii="Times New Roman" w:cs="Times New Roman"/>
                <w:position w:val="2"/>
                <w:szCs w:val="21"/>
              </w:rPr>
            </w:pPr>
            <w:r>
              <w:rPr>
                <w:rFonts w:hint="default" w:ascii="Times New Roman" w:cs="Times New Roman"/>
                <w:position w:val="2"/>
                <w:szCs w:val="21"/>
              </w:rPr>
              <w:t>氯氰菊酯和高效氯氰菊酯（稻谷）</w:t>
            </w:r>
            <w:r>
              <w:rPr>
                <w:rFonts w:ascii="Times New Roman" w:cs="Times New Roman"/>
                <w:position w:val="2"/>
                <w:szCs w:val="21"/>
              </w:rPr>
              <w:t>/mg/kg</w:t>
            </w:r>
            <w:r>
              <w:rPr>
                <w:rFonts w:hint="default" w:ascii="Times New Roman" w:cs="Times New Roman"/>
                <w:position w:val="2"/>
                <w:szCs w:val="21"/>
              </w:rPr>
              <w:t xml:space="preserve"> </w:t>
            </w:r>
          </w:p>
        </w:tc>
        <w:tc>
          <w:tcPr>
            <w:tcW w:w="2500" w:type="pct"/>
          </w:tcPr>
          <w:p w14:paraId="3C4DEE79">
            <w:pPr>
              <w:pStyle w:val="121"/>
              <w:spacing w:before="46"/>
              <w:jc w:val="center"/>
              <w:rPr>
                <w:rFonts w:hint="default" w:ascii="Times New Roman" w:cs="Times New Roman"/>
                <w:position w:val="2"/>
                <w:szCs w:val="21"/>
              </w:rPr>
            </w:pPr>
            <w:r>
              <w:rPr>
                <w:rFonts w:hint="default" w:ascii="Times New Roman" w:cs="Times New Roman"/>
                <w:position w:val="2"/>
                <w:szCs w:val="21"/>
              </w:rPr>
              <w:t>2</w:t>
            </w:r>
          </w:p>
        </w:tc>
      </w:tr>
    </w:tbl>
    <w:p w14:paraId="01248157">
      <w:pPr>
        <w:pStyle w:val="74"/>
        <w:spacing w:before="156" w:after="156"/>
      </w:pPr>
      <w:r>
        <w:t>生产安全要求</w:t>
      </w:r>
    </w:p>
    <w:p w14:paraId="7082900A">
      <w:pPr>
        <w:pStyle w:val="75"/>
        <w:spacing w:before="156" w:after="156"/>
        <w:rPr>
          <w:rFonts w:ascii="宋体" w:hAnsi="宋体" w:eastAsia="宋体" w:cs="宋体"/>
        </w:rPr>
      </w:pPr>
      <w:r>
        <w:rPr>
          <w:rFonts w:ascii="宋体" w:hAnsi="宋体" w:eastAsia="宋体" w:cs="宋体"/>
        </w:rPr>
        <w:t>种植生产过程质量控制按 LS/T 1218 相关条款执行。</w:t>
      </w:r>
    </w:p>
    <w:p w14:paraId="5BDCBAA1">
      <w:pPr>
        <w:pStyle w:val="75"/>
        <w:spacing w:before="156" w:after="156"/>
        <w:rPr>
          <w:rFonts w:ascii="宋体" w:hAnsi="宋体" w:eastAsia="宋体" w:cs="宋体"/>
        </w:rPr>
      </w:pPr>
      <w:r>
        <w:rPr>
          <w:rFonts w:ascii="宋体" w:hAnsi="宋体" w:eastAsia="宋体" w:cs="宋体"/>
        </w:rPr>
        <w:t>原料应来源于 DB21/T 4258 规定的地理范围内，质量符合 GB 1350、GB/T 17891 的规定。</w:t>
      </w:r>
    </w:p>
    <w:p w14:paraId="3DF0A68D">
      <w:pPr>
        <w:pStyle w:val="75"/>
        <w:spacing w:before="156" w:after="156"/>
        <w:rPr>
          <w:rFonts w:ascii="宋体" w:hAnsi="宋体" w:eastAsia="宋体" w:cs="宋体"/>
        </w:rPr>
      </w:pPr>
      <w:r>
        <w:rPr>
          <w:rFonts w:ascii="宋体" w:hAnsi="宋体" w:eastAsia="宋体" w:cs="宋体"/>
        </w:rPr>
        <w:t>加工生产过程应符合 GB 13122、GB 14881、GB/T 26630 的规定。</w:t>
      </w:r>
    </w:p>
    <w:p w14:paraId="543256EC">
      <w:pPr>
        <w:pStyle w:val="75"/>
        <w:spacing w:before="156" w:after="156"/>
        <w:rPr>
          <w:rFonts w:ascii="宋体" w:hAnsi="宋体" w:eastAsia="宋体" w:cs="宋体"/>
        </w:rPr>
      </w:pPr>
      <w:r>
        <w:rPr>
          <w:rFonts w:ascii="宋体" w:hAnsi="宋体" w:eastAsia="宋体" w:cs="宋体"/>
        </w:rPr>
        <w:t>加工生产过程中，除符合 GB 5749 规定的水之外不得添加任何物质。</w:t>
      </w:r>
    </w:p>
    <w:p w14:paraId="2A3D8490">
      <w:pPr>
        <w:pStyle w:val="73"/>
        <w:spacing w:before="156" w:after="156"/>
        <w:rPr>
          <w:rFonts w:hint="default"/>
        </w:rPr>
      </w:pPr>
      <w:r>
        <w:t>追溯信息</w:t>
      </w:r>
    </w:p>
    <w:p w14:paraId="15134036">
      <w:pPr>
        <w:pStyle w:val="25"/>
        <w:ind w:firstLine="420"/>
        <w:rPr>
          <w:rFonts w:hint="default"/>
        </w:rPr>
      </w:pPr>
      <w:r>
        <w:t>供应方应提供的追溯信息要求见附录A。</w:t>
      </w:r>
    </w:p>
    <w:p w14:paraId="1E931E6D">
      <w:pPr>
        <w:pStyle w:val="72"/>
        <w:spacing w:before="312" w:after="312"/>
        <w:rPr>
          <w:rFonts w:hint="default"/>
        </w:rPr>
      </w:pPr>
      <w:r>
        <w:t>检验方法</w:t>
      </w:r>
    </w:p>
    <w:p w14:paraId="0D030807">
      <w:pPr>
        <w:pStyle w:val="73"/>
        <w:spacing w:before="156" w:after="156"/>
        <w:rPr>
          <w:rFonts w:hint="default"/>
        </w:rPr>
      </w:pPr>
      <w:r>
        <w:t>扦样、分样：</w:t>
      </w:r>
      <w:r>
        <w:rPr>
          <w:rFonts w:ascii="宋体" w:hAnsi="宋体" w:eastAsia="宋体" w:cs="宋体"/>
        </w:rPr>
        <w:t>按 GB/T 5491 执行。</w:t>
      </w:r>
    </w:p>
    <w:p w14:paraId="4857B282">
      <w:pPr>
        <w:pStyle w:val="73"/>
        <w:spacing w:before="156" w:after="156"/>
        <w:rPr>
          <w:rFonts w:ascii="宋体" w:hAnsi="宋体" w:eastAsia="宋体" w:cs="宋体"/>
        </w:rPr>
      </w:pPr>
      <w:r>
        <w:t>食味值检验：</w:t>
      </w:r>
      <w:r>
        <w:rPr>
          <w:rFonts w:ascii="宋体" w:hAnsi="宋体" w:eastAsia="宋体" w:cs="宋体"/>
        </w:rPr>
        <w:t>按 GB/T 15682 或 LS/T 3247 附录 B 或附录 C 执行。评价员选拔培训按 LS/T 3247</w:t>
      </w:r>
    </w:p>
    <w:p w14:paraId="67680761">
      <w:pPr>
        <w:pStyle w:val="73"/>
        <w:numPr>
          <w:ilvl w:val="1"/>
          <w:numId w:val="0"/>
        </w:numPr>
        <w:spacing w:before="156" w:after="156"/>
        <w:rPr>
          <w:rFonts w:ascii="宋体" w:hAnsi="宋体" w:eastAsia="宋体" w:cs="宋体"/>
        </w:rPr>
      </w:pPr>
      <w:r>
        <w:rPr>
          <w:rFonts w:ascii="宋体" w:hAnsi="宋体" w:eastAsia="宋体" w:cs="宋体"/>
        </w:rPr>
        <w:t>附录 A 执行，参考样品按 LS/T 1534 执行。其中，GB/T 15682 为基础检验法。</w:t>
      </w:r>
    </w:p>
    <w:p w14:paraId="1CF0127F">
      <w:pPr>
        <w:pStyle w:val="73"/>
        <w:spacing w:before="156" w:after="156"/>
        <w:rPr>
          <w:rFonts w:hint="default"/>
        </w:rPr>
      </w:pPr>
      <w:r>
        <w:t>感官要求、有毒有害菌类、植物种子检验：</w:t>
      </w:r>
      <w:r>
        <w:rPr>
          <w:rFonts w:ascii="宋体" w:hAnsi="宋体" w:eastAsia="宋体" w:cs="宋体"/>
        </w:rPr>
        <w:t>按 GB 2715 规定执行。</w:t>
      </w:r>
    </w:p>
    <w:p w14:paraId="41024816">
      <w:pPr>
        <w:pStyle w:val="73"/>
        <w:spacing w:before="156" w:after="156"/>
        <w:rPr>
          <w:rFonts w:hint="default"/>
        </w:rPr>
      </w:pPr>
      <w:r>
        <w:t>色泽、气味检验：</w:t>
      </w:r>
      <w:r>
        <w:rPr>
          <w:rFonts w:ascii="宋体" w:hAnsi="宋体" w:eastAsia="宋体" w:cs="宋体"/>
        </w:rPr>
        <w:t>按 GB/T 5492 执行。</w:t>
      </w:r>
    </w:p>
    <w:p w14:paraId="0F944571">
      <w:pPr>
        <w:pStyle w:val="73"/>
        <w:spacing w:before="156" w:after="156"/>
        <w:rPr>
          <w:rFonts w:hint="default"/>
        </w:rPr>
      </w:pPr>
      <w:r>
        <w:t>碎米含量检验：</w:t>
      </w:r>
      <w:r>
        <w:rPr>
          <w:rFonts w:ascii="宋体" w:hAnsi="宋体" w:eastAsia="宋体" w:cs="宋体"/>
        </w:rPr>
        <w:t>按 GB/T 5503 执行。</w:t>
      </w:r>
    </w:p>
    <w:p w14:paraId="4638C489">
      <w:pPr>
        <w:pStyle w:val="73"/>
        <w:spacing w:before="156" w:after="156"/>
        <w:rPr>
          <w:rFonts w:hint="default"/>
        </w:rPr>
      </w:pPr>
      <w:r>
        <w:t>垩白度检验：</w:t>
      </w:r>
      <w:r>
        <w:rPr>
          <w:rFonts w:ascii="宋体" w:hAnsi="宋体" w:eastAsia="宋体" w:cs="宋体"/>
        </w:rPr>
        <w:t>按 NY/T 2334 执行。</w:t>
      </w:r>
    </w:p>
    <w:p w14:paraId="0AD8965D">
      <w:pPr>
        <w:pStyle w:val="73"/>
        <w:spacing w:before="156" w:after="156"/>
        <w:rPr>
          <w:rFonts w:hint="default"/>
        </w:rPr>
      </w:pPr>
      <w:r>
        <w:t>垩白粒率检验：</w:t>
      </w:r>
      <w:r>
        <w:rPr>
          <w:rFonts w:ascii="宋体" w:hAnsi="宋体" w:eastAsia="宋体" w:cs="宋体"/>
        </w:rPr>
        <w:t>按 LS/T 3247 附录 D 执行。</w:t>
      </w:r>
    </w:p>
    <w:p w14:paraId="320D120D">
      <w:pPr>
        <w:pStyle w:val="73"/>
        <w:spacing w:before="156" w:after="156"/>
        <w:rPr>
          <w:rFonts w:hint="default"/>
        </w:rPr>
      </w:pPr>
      <w:r>
        <w:t>水分含量检验：</w:t>
      </w:r>
      <w:r>
        <w:rPr>
          <w:rFonts w:ascii="宋体" w:hAnsi="宋体" w:eastAsia="宋体" w:cs="宋体"/>
        </w:rPr>
        <w:t>按 GB 5009.3 执行和GB/T 5497。</w:t>
      </w:r>
    </w:p>
    <w:p w14:paraId="3A7A5344">
      <w:pPr>
        <w:pStyle w:val="73"/>
        <w:spacing w:before="156" w:after="156"/>
        <w:rPr>
          <w:rFonts w:hint="default"/>
        </w:rPr>
      </w:pPr>
      <w:r>
        <w:t>杂质、不完善粒含量检验：</w:t>
      </w:r>
      <w:r>
        <w:rPr>
          <w:rFonts w:ascii="宋体" w:hAnsi="宋体" w:eastAsia="宋体" w:cs="宋体"/>
        </w:rPr>
        <w:t>按 GB/T 5494 执行。</w:t>
      </w:r>
    </w:p>
    <w:p w14:paraId="01D929AE">
      <w:pPr>
        <w:pStyle w:val="73"/>
        <w:spacing w:before="156" w:after="156"/>
        <w:rPr>
          <w:rFonts w:hint="default"/>
        </w:rPr>
      </w:pPr>
      <w:r>
        <w:t>黄粒米含量检验：</w:t>
      </w:r>
      <w:r>
        <w:rPr>
          <w:rFonts w:ascii="宋体" w:hAnsi="宋体" w:eastAsia="宋体" w:cs="宋体"/>
        </w:rPr>
        <w:t>按 GB/T 5496 执行。</w:t>
      </w:r>
    </w:p>
    <w:p w14:paraId="0320A0C0">
      <w:pPr>
        <w:pStyle w:val="73"/>
        <w:spacing w:before="156" w:after="156"/>
        <w:rPr>
          <w:rFonts w:hint="default"/>
        </w:rPr>
      </w:pPr>
      <w:r>
        <w:t>互混检验：</w:t>
      </w:r>
      <w:r>
        <w:rPr>
          <w:rFonts w:ascii="宋体" w:hAnsi="宋体" w:eastAsia="宋体" w:cs="宋体"/>
        </w:rPr>
        <w:t>按 GB/T 5493 执行。</w:t>
      </w:r>
    </w:p>
    <w:p w14:paraId="15C3A37F">
      <w:pPr>
        <w:pStyle w:val="73"/>
        <w:spacing w:before="156" w:after="156"/>
        <w:rPr>
          <w:rFonts w:hint="default"/>
        </w:rPr>
      </w:pPr>
      <w:r>
        <w:t>胶稠度检验：</w:t>
      </w:r>
      <w:r>
        <w:rPr>
          <w:rFonts w:ascii="宋体" w:hAnsi="宋体" w:eastAsia="宋体" w:cs="宋体"/>
        </w:rPr>
        <w:t>按 GB/T 22294 执行。</w:t>
      </w:r>
    </w:p>
    <w:p w14:paraId="0D63FD07">
      <w:pPr>
        <w:pStyle w:val="73"/>
        <w:spacing w:before="156" w:after="156"/>
        <w:rPr>
          <w:rFonts w:ascii="宋体" w:hAnsi="宋体" w:eastAsia="宋体" w:cs="宋体"/>
        </w:rPr>
      </w:pPr>
      <w:r>
        <w:t>安全指数检验：</w:t>
      </w:r>
      <w:r>
        <w:rPr>
          <w:rFonts w:ascii="宋体" w:hAnsi="宋体" w:eastAsia="宋体" w:cs="宋体"/>
        </w:rPr>
        <w:t>按国家标准规定的方法检验真菌毒素、污染物和农药残留含量，按式（1）分别计算每种物质的单项安全指标指数。</w:t>
      </w:r>
    </w:p>
    <w:p w14:paraId="4FEEA2BE">
      <w:pPr>
        <w:pStyle w:val="25"/>
        <w:ind w:firstLine="480"/>
        <w:rPr>
          <w:rFonts w:hAnsi="宋体"/>
          <w:sz w:val="24"/>
          <w:szCs w:val="24"/>
        </w:rPr>
      </w:pPr>
      <m:oMathPara>
        <m:oMathParaPr>
          <m:jc m:val="right"/>
        </m:oMathParaPr>
        <m:oMath>
          <m:sSub>
            <m:sSubPr>
              <m:ctrlPr>
                <w:rPr>
                  <w:rFonts w:hint="default" w:ascii="Cambria Math" w:hAnsi="Cambria Math"/>
                  <w:sz w:val="24"/>
                </w:rPr>
              </m:ctrlPr>
            </m:sSubPr>
            <m:e>
              <m:r>
                <m:rPr/>
                <w:rPr>
                  <w:rFonts w:hint="default" w:ascii="Cambria Math" w:hAnsi="Cambria Math"/>
                  <w:sz w:val="24"/>
                </w:rPr>
                <m:t>P</m:t>
              </m:r>
              <m:ctrlPr>
                <w:rPr>
                  <w:rFonts w:ascii="Cambria Math" w:hAnsi="Cambria Math"/>
                  <w:sz w:val="24"/>
                </w:rPr>
              </m:ctrlPr>
            </m:e>
            <m:sub>
              <m:r>
                <m:rPr/>
                <w:rPr>
                  <w:rFonts w:hint="default" w:ascii="Cambria Math" w:hAnsi="Cambria Math"/>
                  <w:sz w:val="24"/>
                </w:rPr>
                <m:t>i</m:t>
              </m:r>
              <m:ctrlPr>
                <w:rPr>
                  <w:rFonts w:ascii="Cambria Math" w:hAnsi="Cambria Math"/>
                  <w:sz w:val="24"/>
                </w:rPr>
              </m:ctrlPr>
            </m:sub>
          </m:sSub>
          <m:r>
            <m:rPr/>
            <w:rPr>
              <w:rFonts w:hint="default" w:ascii="Cambria Math" w:hAnsi="Cambria Math"/>
              <w:sz w:val="24"/>
            </w:rPr>
            <m:t>=</m:t>
          </m:r>
          <m:f>
            <m:fPr>
              <m:ctrlPr>
                <w:rPr>
                  <w:rFonts w:hint="default" w:ascii="Cambria Math" w:hAnsi="Cambria Math"/>
                  <w:i/>
                  <w:sz w:val="24"/>
                </w:rPr>
              </m:ctrlPr>
            </m:fPr>
            <m:num>
              <m:r>
                <m:rPr>
                  <m:sty m:val="p"/>
                </m:rPr>
                <w:rPr>
                  <w:rFonts w:hint="default" w:ascii="Cambria Math" w:hAnsi="Cambria Math"/>
                  <w:sz w:val="24"/>
                </w:rPr>
                <m:t>实测值</m:t>
              </m:r>
              <m:ctrlPr>
                <w:rPr>
                  <w:rFonts w:ascii="Cambria Math" w:hAnsi="Cambria Math"/>
                  <w:sz w:val="24"/>
                </w:rPr>
              </m:ctrlPr>
            </m:num>
            <m:den>
              <m:r>
                <m:rPr>
                  <m:sty m:val="p"/>
                </m:rPr>
                <w:rPr>
                  <w:rFonts w:hint="default" w:ascii="Cambria Math" w:hAnsi="Cambria Math"/>
                  <w:sz w:val="24"/>
                </w:rPr>
                <m:t>标准限量值</m:t>
              </m:r>
              <m:ctrlPr>
                <w:rPr>
                  <w:rFonts w:ascii="Cambria Math" w:hAnsi="Cambria Math"/>
                  <w:sz w:val="24"/>
                </w:rPr>
              </m:ctrlPr>
            </m:den>
          </m:f>
          <m:r>
            <m:rPr>
              <m:sty m:val="p"/>
            </m:rPr>
            <w:rPr>
              <w:rFonts w:hint="default" w:ascii="Cambria Math" w:hAnsi="Cambria Math" w:cs="Cambria Math"/>
              <w:sz w:val="24"/>
            </w:rPr>
            <m:t>⋯⋯⋯⋯⋯⋯⋯⋯⋯⋯⋯⋯⋯⋯⋯⋯</m:t>
          </m:r>
          <m:r>
            <m:rPr>
              <m:sty m:val="p"/>
            </m:rPr>
            <w:rPr>
              <w:rFonts w:ascii="Cambria Math" w:hAnsi="Cambria Math" w:cs="Cambria Math"/>
              <w:sz w:val="24"/>
            </w:rPr>
            <m:t>（</m:t>
          </m:r>
          <m:r>
            <m:rPr>
              <m:sty m:val="p"/>
            </m:rPr>
            <w:rPr>
              <w:rFonts w:hint="default" w:ascii="Cambria Math" w:hAnsi="Cambria Math" w:cs="Cambria Math"/>
              <w:sz w:val="24"/>
            </w:rPr>
            <m:t>1</m:t>
          </m:r>
          <m:r>
            <m:rPr>
              <m:sty m:val="p"/>
            </m:rPr>
            <w:rPr>
              <w:rFonts w:ascii="Cambria Math" w:hAnsi="Cambria Math" w:cs="Cambria Math"/>
              <w:sz w:val="24"/>
            </w:rPr>
            <m:t>）</m:t>
          </m:r>
        </m:oMath>
      </m:oMathPara>
    </w:p>
    <w:p w14:paraId="10E63953">
      <w:pPr>
        <w:pStyle w:val="25"/>
        <w:ind w:firstLine="480"/>
        <w:rPr>
          <w:rFonts w:hint="default" w:hAnsi="Cambria Math"/>
          <w:sz w:val="24"/>
        </w:rPr>
      </w:pPr>
      <w:r>
        <w:rPr>
          <w:rFonts w:hAnsi="Cambria Math"/>
          <w:sz w:val="24"/>
        </w:rPr>
        <w:t>式中：</w:t>
      </w:r>
    </w:p>
    <w:p w14:paraId="6B31CE6F">
      <w:pPr>
        <w:pStyle w:val="25"/>
        <w:ind w:firstLine="420"/>
        <w:rPr>
          <w:rFonts w:hAnsi="宋体"/>
          <w:sz w:val="24"/>
          <w:szCs w:val="24"/>
        </w:rPr>
      </w:pPr>
      <m:oMath>
        <m:r>
          <m:rPr/>
          <w:rPr>
            <w:rFonts w:ascii="Cambria Math" w:hAnsi="Cambria Math"/>
          </w:rPr>
          <m:t xml:space="preserve"> </m:t>
        </m:r>
        <m:r>
          <m:rPr>
            <m:sty m:val="p"/>
          </m:rPr>
          <w:rPr>
            <w:rFonts w:ascii="Cambria Math" w:hAnsi="Cambria Math"/>
            <w:sz w:val="24"/>
            <w:szCs w:val="24"/>
          </w:rPr>
          <m:t>Pi</m:t>
        </m:r>
      </m:oMath>
      <w:r>
        <w:rPr>
          <w:rFonts w:hAnsi="宋体"/>
          <w:sz w:val="24"/>
          <w:szCs w:val="24"/>
        </w:rPr>
        <mc:AlternateContent>
          <mc:Choice Requires="wps">
            <w:drawing>
              <wp:anchor distT="0" distB="0" distL="114300" distR="114300" simplePos="0" relativeHeight="251659264" behindDoc="0" locked="0" layoutInCell="1" allowOverlap="1">
                <wp:simplePos x="0" y="0"/>
                <wp:positionH relativeFrom="page">
                  <wp:posOffset>3821430</wp:posOffset>
                </wp:positionH>
                <wp:positionV relativeFrom="paragraph">
                  <wp:posOffset>666750</wp:posOffset>
                </wp:positionV>
                <wp:extent cx="38735" cy="76835"/>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38735" cy="76835"/>
                        </a:xfrm>
                        <a:prstGeom prst="rect">
                          <a:avLst/>
                        </a:prstGeom>
                        <a:noFill/>
                        <a:ln>
                          <a:noFill/>
                        </a:ln>
                      </wps:spPr>
                      <wps:txbx>
                        <w:txbxContent>
                          <w:p w14:paraId="054D2CD3">
                            <w:pPr>
                              <w:spacing w:line="121" w:lineRule="exact"/>
                              <w:jc w:val="left"/>
                              <w:rPr>
                                <w:rFonts w:hint="default" w:ascii="Times New Roman" w:eastAsia="Times New Roman" w:cs="Times New Roman"/>
                                <w:sz w:val="12"/>
                                <w:szCs w:val="12"/>
                              </w:rPr>
                            </w:pPr>
                          </w:p>
                        </w:txbxContent>
                      </wps:txbx>
                      <wps:bodyPr lIns="0" tIns="0" rIns="0" bIns="0" upright="1"/>
                    </wps:wsp>
                  </a:graphicData>
                </a:graphic>
              </wp:anchor>
            </w:drawing>
          </mc:Choice>
          <mc:Fallback>
            <w:pict>
              <v:shape id="_x0000_s1026" o:spid="_x0000_s1026" o:spt="202" type="#_x0000_t202" style="position:absolute;left:0pt;margin-left:300.9pt;margin-top:52.5pt;height:6.05pt;width:3.05pt;mso-position-horizontal-relative:page;z-index:251659264;mso-width-relative:page;mso-height-relative:page;" filled="f" stroked="f" coordsize="21600,21600" o:gfxdata="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GjvXvtgAAAALAQAADwAAAAAAAAABACAAAAAiAAAAZHJzL2Rvd25yZXYueG1sUEsBAhQA&#10;FAAAAAgAh07iQGYUxH+5AQAAcQMAAA4AAAAAAAAAAQAgAAAAJwEAAGRycy9lMm9Eb2MueG1sUEsF&#10;BgAAAAAGAAYAWQEAAFIFAAAAAA==&#10;">
                <v:fill on="f" focussize="0,0"/>
                <v:stroke on="f"/>
                <v:imagedata o:title=""/>
                <o:lock v:ext="edit" aspectratio="f"/>
                <v:textbox inset="0mm,0mm,0mm,0mm">
                  <w:txbxContent>
                    <w:p w14:paraId="054D2CD3">
                      <w:pPr>
                        <w:spacing w:line="121" w:lineRule="exact"/>
                        <w:jc w:val="left"/>
                        <w:rPr>
                          <w:rFonts w:hint="default" w:ascii="Times New Roman" w:eastAsia="Times New Roman" w:cs="Times New Roman"/>
                          <w:sz w:val="12"/>
                          <w:szCs w:val="12"/>
                        </w:rPr>
                      </w:pPr>
                    </w:p>
                  </w:txbxContent>
                </v:textbox>
              </v:shape>
            </w:pict>
          </mc:Fallback>
        </mc:AlternateContent>
      </w:r>
      <w:r>
        <w:rPr>
          <w:rFonts w:hAnsi="宋体"/>
          <w:sz w:val="24"/>
          <w:szCs w:val="24"/>
        </w:rPr>
        <w:t>——每种物质的单项安全指标指数。 根据式（2）～（4）分别计算真菌毒素、污染物和农药残留的内梅罗指数PN</w:t>
      </w:r>
    </w:p>
    <w:p w14:paraId="70C97BBF">
      <w:pPr>
        <w:pStyle w:val="25"/>
        <w:ind w:firstLine="480"/>
        <w:rPr>
          <w:rFonts w:hint="default" w:hAnsi="Cambria Math"/>
          <w:sz w:val="24"/>
        </w:rPr>
      </w:pPr>
      <m:oMathPara>
        <m:oMathParaPr>
          <m:jc m:val="right"/>
        </m:oMathParaPr>
        <m:oMath>
          <m:sSub>
            <m:sSubPr>
              <m:ctrlPr>
                <w:rPr>
                  <w:rFonts w:hint="default" w:ascii="Cambria Math" w:hAnsi="Cambria Math"/>
                  <w:sz w:val="24"/>
                </w:rPr>
              </m:ctrlPr>
            </m:sSubPr>
            <m:e>
              <m:r>
                <m:rPr/>
                <w:rPr>
                  <w:rFonts w:hint="default" w:ascii="Cambria Math" w:hAnsi="Cambria Math"/>
                  <w:sz w:val="24"/>
                </w:rPr>
                <m:t>P</m:t>
              </m:r>
              <m:ctrlPr>
                <w:rPr>
                  <w:rFonts w:ascii="Cambria Math" w:hAnsi="Cambria Math"/>
                  <w:sz w:val="24"/>
                </w:rPr>
              </m:ctrlPr>
            </m:e>
            <m:sub>
              <m:r>
                <m:rPr/>
                <w:rPr>
                  <w:rFonts w:hint="default" w:ascii="Cambria Math" w:hAnsi="Cambria Math"/>
                  <w:sz w:val="24"/>
                </w:rPr>
                <m:t>N</m:t>
              </m:r>
              <m:r>
                <m:rPr>
                  <m:sty m:val="p"/>
                </m:rPr>
                <w:rPr>
                  <w:rFonts w:hint="default" w:ascii="Cambria Math" w:hAnsi="Cambria Math"/>
                  <w:sz w:val="24"/>
                </w:rPr>
                <m:t>真菌毒素</m:t>
              </m:r>
              <m:ctrlPr>
                <w:rPr>
                  <w:rFonts w:ascii="Cambria Math" w:hAnsi="Cambria Math"/>
                  <w:sz w:val="24"/>
                </w:rPr>
              </m:ctrlPr>
            </m:sub>
          </m:sSub>
          <m:r>
            <m:rPr/>
            <w:rPr>
              <w:rFonts w:hint="default" w:ascii="Cambria Math" w:hAnsi="Cambria Math"/>
              <w:sz w:val="24"/>
            </w:rPr>
            <m:t>=</m:t>
          </m:r>
          <m:rad>
            <m:radPr>
              <m:degHide m:val="1"/>
              <m:ctrlPr>
                <w:rPr>
                  <w:rFonts w:hint="default" w:ascii="Cambria Math" w:hAnsi="Cambria Math"/>
                  <w:i/>
                  <w:sz w:val="24"/>
                </w:rPr>
              </m:ctrlPr>
            </m:radPr>
            <m:deg>
              <m:ctrlPr>
                <w:rPr>
                  <w:rFonts w:ascii="Cambria Math" w:hAnsi="Cambria Math"/>
                  <w:sz w:val="24"/>
                </w:rPr>
              </m:ctrlPr>
            </m:deg>
            <m:e>
              <m:f>
                <m:fPr>
                  <m:ctrlPr>
                    <w:rPr>
                      <w:rFonts w:hint="default" w:ascii="Cambria Math" w:hAnsi="Cambria Math"/>
                      <w:i/>
                      <w:sz w:val="24"/>
                    </w:rPr>
                  </m:ctrlPr>
                </m:fPr>
                <m:num>
                  <m:r>
                    <m:rPr/>
                    <w:rPr>
                      <w:rFonts w:hint="default" w:ascii="Cambria Math" w:hAnsi="Cambria Math"/>
                      <w:sz w:val="24"/>
                    </w:rPr>
                    <m:t>P</m:t>
                  </m:r>
                  <m:sSubSup>
                    <m:sSubSupPr>
                      <m:ctrlPr>
                        <w:rPr>
                          <w:rFonts w:hint="default" w:ascii="Cambria Math" w:hAnsi="Cambria Math"/>
                          <w:sz w:val="24"/>
                        </w:rPr>
                      </m:ctrlPr>
                    </m:sSubSupPr>
                    <m:e>
                      <m:r>
                        <m:rPr/>
                        <w:rPr>
                          <w:rFonts w:hint="default" w:ascii="Cambria Math" w:hAnsi="Cambria Math"/>
                          <w:sz w:val="24"/>
                        </w:rPr>
                        <m:t>i</m:t>
                      </m:r>
                      <m:ctrlPr>
                        <w:rPr>
                          <w:rFonts w:ascii="Cambria Math" w:hAnsi="Cambria Math"/>
                          <w:sz w:val="24"/>
                        </w:rPr>
                      </m:ctrlPr>
                    </m:e>
                    <m:sub>
                      <m:r>
                        <m:rPr>
                          <m:sty m:val="p"/>
                        </m:rPr>
                        <w:rPr>
                          <w:rFonts w:hint="default" w:ascii="Cambria Math" w:hAnsi="Cambria Math"/>
                          <w:sz w:val="24"/>
                        </w:rPr>
                        <m:t>均</m:t>
                      </m:r>
                      <m:ctrlPr>
                        <w:rPr>
                          <w:rFonts w:ascii="Cambria Math" w:hAnsi="Cambria Math"/>
                          <w:sz w:val="24"/>
                        </w:rPr>
                      </m:ctrlPr>
                    </m:sub>
                    <m:sup>
                      <m:r>
                        <m:rPr/>
                        <w:rPr>
                          <w:rFonts w:hint="default" w:ascii="Cambria Math" w:hAnsi="Cambria Math"/>
                          <w:sz w:val="24"/>
                        </w:rPr>
                        <m:t>2</m:t>
                      </m:r>
                      <m:ctrlPr>
                        <w:rPr>
                          <w:rFonts w:ascii="Cambria Math" w:hAnsi="Cambria Math"/>
                          <w:sz w:val="24"/>
                        </w:rPr>
                      </m:ctrlPr>
                    </m:sup>
                  </m:sSubSup>
                  <m:r>
                    <m:rPr/>
                    <w:rPr>
                      <w:rFonts w:hint="default" w:ascii="Cambria Math" w:hAnsi="Cambria Math"/>
                      <w:sz w:val="24"/>
                    </w:rPr>
                    <m:t>+P</m:t>
                  </m:r>
                  <m:sSubSup>
                    <m:sSubSupPr>
                      <m:ctrlPr>
                        <w:rPr>
                          <w:rFonts w:hint="default" w:ascii="Cambria Math" w:hAnsi="Cambria Math"/>
                          <w:sz w:val="24"/>
                        </w:rPr>
                      </m:ctrlPr>
                    </m:sSubSupPr>
                    <m:e>
                      <m:r>
                        <m:rPr/>
                        <w:rPr>
                          <w:rFonts w:hint="default" w:ascii="Cambria Math" w:hAnsi="Cambria Math"/>
                          <w:sz w:val="24"/>
                        </w:rPr>
                        <m:t>i</m:t>
                      </m:r>
                      <m:ctrlPr>
                        <w:rPr>
                          <w:rFonts w:ascii="Cambria Math" w:hAnsi="Cambria Math"/>
                          <w:sz w:val="24"/>
                        </w:rPr>
                      </m:ctrlPr>
                    </m:e>
                    <m:sub>
                      <m:r>
                        <m:rPr>
                          <m:sty m:val="p"/>
                        </m:rPr>
                        <w:rPr>
                          <w:rFonts w:hint="default" w:ascii="Cambria Math" w:hAnsi="Cambria Math"/>
                          <w:sz w:val="24"/>
                        </w:rPr>
                        <m:t>最大</m:t>
                      </m:r>
                      <m:ctrlPr>
                        <w:rPr>
                          <w:rFonts w:ascii="Cambria Math" w:hAnsi="Cambria Math"/>
                          <w:sz w:val="24"/>
                        </w:rPr>
                      </m:ctrlPr>
                    </m:sub>
                    <m:sup>
                      <m:r>
                        <m:rPr/>
                        <w:rPr>
                          <w:rFonts w:hint="default" w:ascii="Cambria Math" w:hAnsi="Cambria Math"/>
                          <w:sz w:val="24"/>
                        </w:rPr>
                        <m:t>2</m:t>
                      </m:r>
                      <m:ctrlPr>
                        <w:rPr>
                          <w:rFonts w:ascii="Cambria Math" w:hAnsi="Cambria Math"/>
                          <w:sz w:val="24"/>
                        </w:rPr>
                      </m:ctrlPr>
                    </m:sup>
                  </m:sSubSup>
                  <m:ctrlPr>
                    <w:rPr>
                      <w:rFonts w:hint="default" w:ascii="Cambria Math" w:hAnsi="Cambria Math"/>
                      <w:sz w:val="24"/>
                    </w:rPr>
                  </m:ctrlPr>
                </m:num>
                <m:den>
                  <m:r>
                    <m:rPr/>
                    <w:rPr>
                      <w:rFonts w:hint="default" w:ascii="Cambria Math" w:hAnsi="Cambria Math"/>
                      <w:sz w:val="24"/>
                    </w:rPr>
                    <m:t>2</m:t>
                  </m:r>
                  <m:ctrlPr>
                    <w:rPr>
                      <w:rFonts w:hint="default" w:ascii="Cambria Math" w:hAnsi="Cambria Math"/>
                      <w:sz w:val="24"/>
                    </w:rPr>
                  </m:ctrlPr>
                </m:den>
              </m:f>
              <m:ctrlPr>
                <w:rPr>
                  <w:rFonts w:hint="default" w:ascii="Cambria Math" w:hAnsi="Cambria Math"/>
                  <w:sz w:val="24"/>
                </w:rPr>
              </m:ctrlPr>
            </m:e>
          </m:rad>
          <m:r>
            <m:rPr>
              <m:sty m:val="p"/>
            </m:rPr>
            <w:rPr>
              <w:rFonts w:ascii="Cambria Math" w:hAnsi="Cambria Math"/>
              <w:sz w:val="24"/>
            </w:rPr>
            <m:t>⋯⋯⋯</m:t>
          </m:r>
          <m:r>
            <m:rPr>
              <m:sty m:val="p"/>
            </m:rPr>
            <w:rPr>
              <w:rFonts w:hint="default" w:ascii="Cambria Math" w:hAnsi="Cambria Math" w:cs="Cambria Math"/>
              <w:sz w:val="24"/>
            </w:rPr>
            <m:t>⋯⋯⋯⋯⋯⋯</m:t>
          </m:r>
          <m:r>
            <m:rPr>
              <m:sty m:val="p"/>
            </m:rPr>
            <w:rPr>
              <w:rFonts w:ascii="Cambria Math" w:hAnsi="Cambria Math"/>
              <w:sz w:val="24"/>
            </w:rPr>
            <m:t>⋯⋯（</m:t>
          </m:r>
          <m:r>
            <m:rPr>
              <m:sty m:val="p"/>
            </m:rPr>
            <w:rPr>
              <w:rFonts w:hint="default" w:ascii="Cambria Math" w:hAnsi="Cambria Math"/>
              <w:sz w:val="24"/>
            </w:rPr>
            <m:t>2</m:t>
          </m:r>
          <m:r>
            <m:rPr>
              <m:sty m:val="p"/>
            </m:rPr>
            <w:rPr>
              <w:rFonts w:ascii="Cambria Math" w:hAnsi="Cambria Math"/>
              <w:sz w:val="24"/>
            </w:rPr>
            <m:t>）</m:t>
          </m:r>
        </m:oMath>
      </m:oMathPara>
    </w:p>
    <w:p w14:paraId="7C9D3F4D">
      <w:pPr>
        <w:pStyle w:val="25"/>
        <w:ind w:firstLine="480"/>
        <w:rPr>
          <w:rFonts w:hint="default" w:hAnsi="Cambria Math"/>
          <w:sz w:val="24"/>
        </w:rPr>
      </w:pPr>
      <m:oMathPara>
        <m:oMathParaPr>
          <m:jc m:val="right"/>
        </m:oMathParaPr>
        <m:oMath>
          <m:sSub>
            <m:sSubPr>
              <m:ctrlPr>
                <w:rPr>
                  <w:rFonts w:hint="default" w:ascii="Cambria Math" w:hAnsi="Cambria Math"/>
                  <w:sz w:val="24"/>
                </w:rPr>
              </m:ctrlPr>
            </m:sSubPr>
            <m:e>
              <m:r>
                <m:rPr/>
                <w:rPr>
                  <w:rFonts w:hint="default" w:ascii="Cambria Math" w:hAnsi="Cambria Math"/>
                  <w:sz w:val="24"/>
                </w:rPr>
                <m:t>P</m:t>
              </m:r>
              <m:ctrlPr>
                <w:rPr>
                  <w:rFonts w:ascii="Cambria Math" w:hAnsi="Cambria Math"/>
                  <w:sz w:val="24"/>
                </w:rPr>
              </m:ctrlPr>
            </m:e>
            <m:sub>
              <m:r>
                <m:rPr/>
                <w:rPr>
                  <w:rFonts w:hint="default" w:ascii="Cambria Math" w:hAnsi="Cambria Math"/>
                  <w:sz w:val="24"/>
                </w:rPr>
                <m:t>N</m:t>
              </m:r>
              <m:r>
                <m:rPr>
                  <m:sty m:val="p"/>
                </m:rPr>
                <w:rPr>
                  <w:rFonts w:hint="default" w:ascii="Cambria Math" w:hAnsi="Cambria Math"/>
                  <w:sz w:val="24"/>
                </w:rPr>
                <m:t>污染物</m:t>
              </m:r>
              <m:ctrlPr>
                <w:rPr>
                  <w:rFonts w:ascii="Cambria Math" w:hAnsi="Cambria Math"/>
                  <w:sz w:val="24"/>
                </w:rPr>
              </m:ctrlPr>
            </m:sub>
          </m:sSub>
          <m:r>
            <m:rPr/>
            <w:rPr>
              <w:rFonts w:hint="default" w:ascii="Cambria Math" w:hAnsi="Cambria Math"/>
              <w:sz w:val="24"/>
            </w:rPr>
            <m:t>=</m:t>
          </m:r>
          <m:rad>
            <m:radPr>
              <m:degHide m:val="1"/>
              <m:ctrlPr>
                <w:rPr>
                  <w:rFonts w:hint="default" w:ascii="Cambria Math" w:hAnsi="Cambria Math"/>
                  <w:i/>
                  <w:sz w:val="24"/>
                </w:rPr>
              </m:ctrlPr>
            </m:radPr>
            <m:deg>
              <m:ctrlPr>
                <w:rPr>
                  <w:rFonts w:ascii="Cambria Math" w:hAnsi="Cambria Math"/>
                  <w:sz w:val="24"/>
                </w:rPr>
              </m:ctrlPr>
            </m:deg>
            <m:e>
              <m:f>
                <m:fPr>
                  <m:ctrlPr>
                    <w:rPr>
                      <w:rFonts w:hint="default" w:ascii="Cambria Math" w:hAnsi="Cambria Math"/>
                      <w:i/>
                      <w:sz w:val="24"/>
                    </w:rPr>
                  </m:ctrlPr>
                </m:fPr>
                <m:num>
                  <m:r>
                    <m:rPr/>
                    <w:rPr>
                      <w:rFonts w:hint="default" w:ascii="Cambria Math" w:hAnsi="Cambria Math"/>
                      <w:sz w:val="24"/>
                    </w:rPr>
                    <m:t>P</m:t>
                  </m:r>
                  <m:sSubSup>
                    <m:sSubSupPr>
                      <m:ctrlPr>
                        <w:rPr>
                          <w:rFonts w:hint="default" w:ascii="Cambria Math" w:hAnsi="Cambria Math"/>
                          <w:sz w:val="24"/>
                        </w:rPr>
                      </m:ctrlPr>
                    </m:sSubSupPr>
                    <m:e>
                      <m:r>
                        <m:rPr/>
                        <w:rPr>
                          <w:rFonts w:hint="default" w:ascii="Cambria Math" w:hAnsi="Cambria Math"/>
                          <w:sz w:val="24"/>
                        </w:rPr>
                        <m:t>i</m:t>
                      </m:r>
                      <m:ctrlPr>
                        <w:rPr>
                          <w:rFonts w:ascii="Cambria Math" w:hAnsi="Cambria Math"/>
                          <w:sz w:val="24"/>
                        </w:rPr>
                      </m:ctrlPr>
                    </m:e>
                    <m:sub>
                      <m:r>
                        <m:rPr>
                          <m:sty m:val="p"/>
                        </m:rPr>
                        <w:rPr>
                          <w:rFonts w:hint="default" w:ascii="Cambria Math" w:hAnsi="Cambria Math"/>
                          <w:sz w:val="24"/>
                        </w:rPr>
                        <m:t>均</m:t>
                      </m:r>
                      <m:ctrlPr>
                        <w:rPr>
                          <w:rFonts w:ascii="Cambria Math" w:hAnsi="Cambria Math"/>
                          <w:sz w:val="24"/>
                        </w:rPr>
                      </m:ctrlPr>
                    </m:sub>
                    <m:sup>
                      <m:r>
                        <m:rPr/>
                        <w:rPr>
                          <w:rFonts w:hint="default" w:ascii="Cambria Math" w:hAnsi="Cambria Math"/>
                          <w:sz w:val="24"/>
                        </w:rPr>
                        <m:t>2</m:t>
                      </m:r>
                      <m:ctrlPr>
                        <w:rPr>
                          <w:rFonts w:ascii="Cambria Math" w:hAnsi="Cambria Math"/>
                          <w:sz w:val="24"/>
                        </w:rPr>
                      </m:ctrlPr>
                    </m:sup>
                  </m:sSubSup>
                  <m:r>
                    <m:rPr/>
                    <w:rPr>
                      <w:rFonts w:hint="default" w:ascii="Cambria Math" w:hAnsi="Cambria Math"/>
                      <w:sz w:val="24"/>
                    </w:rPr>
                    <m:t>+P</m:t>
                  </m:r>
                  <m:sSubSup>
                    <m:sSubSupPr>
                      <m:ctrlPr>
                        <w:rPr>
                          <w:rFonts w:hint="default" w:ascii="Cambria Math" w:hAnsi="Cambria Math"/>
                          <w:sz w:val="24"/>
                        </w:rPr>
                      </m:ctrlPr>
                    </m:sSubSupPr>
                    <m:e>
                      <m:r>
                        <m:rPr/>
                        <w:rPr>
                          <w:rFonts w:hint="default" w:ascii="Cambria Math" w:hAnsi="Cambria Math"/>
                          <w:sz w:val="24"/>
                        </w:rPr>
                        <m:t>i</m:t>
                      </m:r>
                      <m:ctrlPr>
                        <w:rPr>
                          <w:rFonts w:ascii="Cambria Math" w:hAnsi="Cambria Math"/>
                          <w:sz w:val="24"/>
                        </w:rPr>
                      </m:ctrlPr>
                    </m:e>
                    <m:sub>
                      <m:r>
                        <m:rPr>
                          <m:sty m:val="p"/>
                        </m:rPr>
                        <w:rPr>
                          <w:rFonts w:hint="default" w:ascii="Cambria Math" w:hAnsi="Cambria Math"/>
                          <w:sz w:val="24"/>
                        </w:rPr>
                        <m:t>最大</m:t>
                      </m:r>
                      <m:ctrlPr>
                        <w:rPr>
                          <w:rFonts w:ascii="Cambria Math" w:hAnsi="Cambria Math"/>
                          <w:sz w:val="24"/>
                        </w:rPr>
                      </m:ctrlPr>
                    </m:sub>
                    <m:sup>
                      <m:r>
                        <m:rPr/>
                        <w:rPr>
                          <w:rFonts w:hint="default" w:ascii="Cambria Math" w:hAnsi="Cambria Math"/>
                          <w:sz w:val="24"/>
                        </w:rPr>
                        <m:t>2</m:t>
                      </m:r>
                      <m:ctrlPr>
                        <w:rPr>
                          <w:rFonts w:ascii="Cambria Math" w:hAnsi="Cambria Math"/>
                          <w:sz w:val="24"/>
                        </w:rPr>
                      </m:ctrlPr>
                    </m:sup>
                  </m:sSubSup>
                  <m:ctrlPr>
                    <w:rPr>
                      <w:rFonts w:hint="default" w:ascii="Cambria Math" w:hAnsi="Cambria Math"/>
                      <w:sz w:val="24"/>
                    </w:rPr>
                  </m:ctrlPr>
                </m:num>
                <m:den>
                  <m:r>
                    <m:rPr/>
                    <w:rPr>
                      <w:rFonts w:hint="default" w:ascii="Cambria Math" w:hAnsi="Cambria Math"/>
                      <w:sz w:val="24"/>
                    </w:rPr>
                    <m:t>2</m:t>
                  </m:r>
                  <m:ctrlPr>
                    <w:rPr>
                      <w:rFonts w:hint="default" w:ascii="Cambria Math" w:hAnsi="Cambria Math"/>
                      <w:sz w:val="24"/>
                    </w:rPr>
                  </m:ctrlPr>
                </m:den>
              </m:f>
              <m:ctrlPr>
                <w:rPr>
                  <w:rFonts w:hint="default" w:ascii="Cambria Math" w:hAnsi="Cambria Math"/>
                  <w:i/>
                  <w:sz w:val="24"/>
                </w:rPr>
              </m:ctrlPr>
            </m:e>
          </m:rad>
          <m:r>
            <m:rPr>
              <m:sty m:val="p"/>
            </m:rPr>
            <w:rPr>
              <w:rFonts w:ascii="Cambria Math" w:hAnsi="Cambria Math"/>
              <w:sz w:val="24"/>
            </w:rPr>
            <m:t>⋯⋯⋯</m:t>
          </m:r>
          <m:r>
            <m:rPr>
              <m:sty m:val="p"/>
            </m:rPr>
            <w:rPr>
              <w:rFonts w:hint="default" w:ascii="Cambria Math" w:hAnsi="Cambria Math" w:cs="Cambria Math"/>
              <w:sz w:val="24"/>
            </w:rPr>
            <m:t>⋯⋯⋯⋯⋯⋯</m:t>
          </m:r>
          <m:r>
            <m:rPr>
              <m:sty m:val="p"/>
            </m:rPr>
            <w:rPr>
              <w:rFonts w:ascii="Cambria Math" w:hAnsi="Cambria Math"/>
              <w:sz w:val="24"/>
            </w:rPr>
            <m:t>⋯⋯（</m:t>
          </m:r>
          <m:r>
            <m:rPr>
              <m:sty m:val="p"/>
            </m:rPr>
            <w:rPr>
              <w:rFonts w:hint="default" w:ascii="Cambria Math" w:hAnsi="Cambria Math"/>
              <w:sz w:val="24"/>
            </w:rPr>
            <m:t>3</m:t>
          </m:r>
          <m:r>
            <m:rPr>
              <m:sty m:val="p"/>
            </m:rPr>
            <w:rPr>
              <w:rFonts w:ascii="Cambria Math" w:hAnsi="Cambria Math"/>
              <w:sz w:val="24"/>
            </w:rPr>
            <m:t>）</m:t>
          </m:r>
        </m:oMath>
      </m:oMathPara>
    </w:p>
    <w:p w14:paraId="379262FC">
      <w:pPr>
        <w:pStyle w:val="25"/>
        <w:ind w:firstLine="480"/>
        <w:rPr>
          <w:rFonts w:hint="default" w:hAnsi="Cambria Math"/>
          <w:sz w:val="24"/>
        </w:rPr>
      </w:pPr>
      <m:oMathPara>
        <m:oMathParaPr>
          <m:jc m:val="right"/>
        </m:oMathParaPr>
        <m:oMath>
          <m:sSub>
            <m:sSubPr>
              <m:ctrlPr>
                <w:rPr>
                  <w:rFonts w:hint="default" w:ascii="Cambria Math" w:hAnsi="Cambria Math"/>
                  <w:sz w:val="24"/>
                </w:rPr>
              </m:ctrlPr>
            </m:sSubPr>
            <m:e>
              <m:r>
                <m:rPr/>
                <w:rPr>
                  <w:rFonts w:hint="default" w:ascii="Cambria Math" w:hAnsi="Cambria Math"/>
                  <w:sz w:val="24"/>
                </w:rPr>
                <m:t>P</m:t>
              </m:r>
              <m:ctrlPr>
                <w:rPr>
                  <w:rFonts w:ascii="Cambria Math" w:hAnsi="Cambria Math"/>
                  <w:sz w:val="24"/>
                </w:rPr>
              </m:ctrlPr>
            </m:e>
            <m:sub>
              <m:r>
                <m:rPr/>
                <w:rPr>
                  <w:rFonts w:hint="default" w:ascii="Cambria Math" w:hAnsi="Cambria Math"/>
                  <w:sz w:val="24"/>
                </w:rPr>
                <m:t>N</m:t>
              </m:r>
              <m:r>
                <m:rPr>
                  <m:sty m:val="p"/>
                </m:rPr>
                <w:rPr>
                  <w:rFonts w:hint="default" w:ascii="Cambria Math" w:hAnsi="Cambria Math"/>
                  <w:sz w:val="24"/>
                </w:rPr>
                <m:t>农药残留</m:t>
              </m:r>
              <m:ctrlPr>
                <w:rPr>
                  <w:rFonts w:ascii="Cambria Math" w:hAnsi="Cambria Math"/>
                  <w:sz w:val="24"/>
                </w:rPr>
              </m:ctrlPr>
            </m:sub>
          </m:sSub>
          <m:r>
            <m:rPr/>
            <w:rPr>
              <w:rFonts w:hint="default" w:ascii="Cambria Math" w:hAnsi="Cambria Math"/>
              <w:sz w:val="24"/>
            </w:rPr>
            <m:t>=</m:t>
          </m:r>
          <m:rad>
            <m:radPr>
              <m:degHide m:val="1"/>
              <m:ctrlPr>
                <w:rPr>
                  <w:rFonts w:hint="default" w:ascii="Cambria Math" w:hAnsi="Cambria Math"/>
                  <w:i/>
                  <w:sz w:val="24"/>
                </w:rPr>
              </m:ctrlPr>
            </m:radPr>
            <m:deg>
              <m:ctrlPr>
                <w:rPr>
                  <w:rFonts w:ascii="Cambria Math" w:hAnsi="Cambria Math"/>
                  <w:sz w:val="24"/>
                </w:rPr>
              </m:ctrlPr>
            </m:deg>
            <m:e>
              <m:f>
                <m:fPr>
                  <m:ctrlPr>
                    <w:rPr>
                      <w:rFonts w:hint="default" w:ascii="Cambria Math" w:hAnsi="Cambria Math"/>
                      <w:i/>
                      <w:sz w:val="24"/>
                    </w:rPr>
                  </m:ctrlPr>
                </m:fPr>
                <m:num>
                  <m:r>
                    <m:rPr/>
                    <w:rPr>
                      <w:rFonts w:hint="default" w:ascii="Cambria Math" w:hAnsi="Cambria Math"/>
                      <w:sz w:val="24"/>
                    </w:rPr>
                    <m:t>P</m:t>
                  </m:r>
                  <m:sSubSup>
                    <m:sSubSupPr>
                      <m:ctrlPr>
                        <w:rPr>
                          <w:rFonts w:hint="default" w:ascii="Cambria Math" w:hAnsi="Cambria Math"/>
                          <w:sz w:val="24"/>
                        </w:rPr>
                      </m:ctrlPr>
                    </m:sSubSupPr>
                    <m:e>
                      <m:r>
                        <m:rPr/>
                        <w:rPr>
                          <w:rFonts w:hint="default" w:ascii="Cambria Math" w:hAnsi="Cambria Math"/>
                          <w:sz w:val="24"/>
                        </w:rPr>
                        <m:t>i</m:t>
                      </m:r>
                      <m:ctrlPr>
                        <w:rPr>
                          <w:rFonts w:ascii="Cambria Math" w:hAnsi="Cambria Math"/>
                          <w:sz w:val="24"/>
                        </w:rPr>
                      </m:ctrlPr>
                    </m:e>
                    <m:sub>
                      <m:r>
                        <m:rPr>
                          <m:sty m:val="p"/>
                        </m:rPr>
                        <w:rPr>
                          <w:rFonts w:hint="default" w:ascii="Cambria Math" w:hAnsi="Cambria Math"/>
                          <w:sz w:val="24"/>
                        </w:rPr>
                        <m:t>均</m:t>
                      </m:r>
                      <m:ctrlPr>
                        <w:rPr>
                          <w:rFonts w:ascii="Cambria Math" w:hAnsi="Cambria Math"/>
                          <w:sz w:val="24"/>
                        </w:rPr>
                      </m:ctrlPr>
                    </m:sub>
                    <m:sup>
                      <m:r>
                        <m:rPr/>
                        <w:rPr>
                          <w:rFonts w:hint="default" w:ascii="Cambria Math" w:hAnsi="Cambria Math"/>
                          <w:sz w:val="24"/>
                        </w:rPr>
                        <m:t>2</m:t>
                      </m:r>
                      <m:ctrlPr>
                        <w:rPr>
                          <w:rFonts w:ascii="Cambria Math" w:hAnsi="Cambria Math"/>
                          <w:sz w:val="24"/>
                        </w:rPr>
                      </m:ctrlPr>
                    </m:sup>
                  </m:sSubSup>
                  <m:r>
                    <m:rPr/>
                    <w:rPr>
                      <w:rFonts w:hint="default" w:ascii="Cambria Math" w:hAnsi="Cambria Math"/>
                      <w:sz w:val="24"/>
                    </w:rPr>
                    <m:t>+P</m:t>
                  </m:r>
                  <m:sSubSup>
                    <m:sSubSupPr>
                      <m:ctrlPr>
                        <w:rPr>
                          <w:rFonts w:hint="default" w:ascii="Cambria Math" w:hAnsi="Cambria Math"/>
                          <w:sz w:val="24"/>
                        </w:rPr>
                      </m:ctrlPr>
                    </m:sSubSupPr>
                    <m:e>
                      <m:r>
                        <m:rPr/>
                        <w:rPr>
                          <w:rFonts w:hint="default" w:ascii="Cambria Math" w:hAnsi="Cambria Math"/>
                          <w:sz w:val="24"/>
                        </w:rPr>
                        <m:t>i</m:t>
                      </m:r>
                      <m:ctrlPr>
                        <w:rPr>
                          <w:rFonts w:ascii="Cambria Math" w:hAnsi="Cambria Math"/>
                          <w:sz w:val="24"/>
                        </w:rPr>
                      </m:ctrlPr>
                    </m:e>
                    <m:sub>
                      <m:r>
                        <m:rPr>
                          <m:sty m:val="p"/>
                        </m:rPr>
                        <w:rPr>
                          <w:rFonts w:hint="default" w:ascii="Cambria Math" w:hAnsi="Cambria Math"/>
                          <w:sz w:val="24"/>
                        </w:rPr>
                        <m:t>最大</m:t>
                      </m:r>
                      <m:ctrlPr>
                        <w:rPr>
                          <w:rFonts w:ascii="Cambria Math" w:hAnsi="Cambria Math"/>
                          <w:sz w:val="24"/>
                        </w:rPr>
                      </m:ctrlPr>
                    </m:sub>
                    <m:sup>
                      <m:r>
                        <m:rPr/>
                        <w:rPr>
                          <w:rFonts w:hint="default" w:ascii="Cambria Math" w:hAnsi="Cambria Math"/>
                          <w:sz w:val="24"/>
                        </w:rPr>
                        <m:t>2</m:t>
                      </m:r>
                      <m:ctrlPr>
                        <w:rPr>
                          <w:rFonts w:ascii="Cambria Math" w:hAnsi="Cambria Math"/>
                          <w:sz w:val="24"/>
                        </w:rPr>
                      </m:ctrlPr>
                    </m:sup>
                  </m:sSubSup>
                  <m:ctrlPr>
                    <w:rPr>
                      <w:rFonts w:hint="default" w:ascii="Cambria Math" w:hAnsi="Cambria Math"/>
                      <w:sz w:val="24"/>
                    </w:rPr>
                  </m:ctrlPr>
                </m:num>
                <m:den>
                  <m:r>
                    <m:rPr/>
                    <w:rPr>
                      <w:rFonts w:hint="default" w:ascii="Cambria Math" w:hAnsi="Cambria Math"/>
                      <w:sz w:val="24"/>
                    </w:rPr>
                    <m:t>2</m:t>
                  </m:r>
                  <m:ctrlPr>
                    <w:rPr>
                      <w:rFonts w:hint="default" w:ascii="Cambria Math" w:hAnsi="Cambria Math"/>
                      <w:sz w:val="24"/>
                    </w:rPr>
                  </m:ctrlPr>
                </m:den>
              </m:f>
              <m:ctrlPr>
                <w:rPr>
                  <w:rFonts w:hint="default" w:ascii="Cambria Math" w:hAnsi="Cambria Math"/>
                  <w:i/>
                  <w:sz w:val="24"/>
                </w:rPr>
              </m:ctrlPr>
            </m:e>
          </m:rad>
          <m:r>
            <m:rPr>
              <m:sty m:val="p"/>
            </m:rPr>
            <w:rPr>
              <w:rFonts w:ascii="Cambria Math" w:hAnsi="Cambria Math"/>
              <w:sz w:val="24"/>
            </w:rPr>
            <m:t>⋯⋯⋯</m:t>
          </m:r>
          <m:r>
            <m:rPr>
              <m:sty m:val="p"/>
            </m:rPr>
            <w:rPr>
              <w:rFonts w:hint="default" w:ascii="Cambria Math" w:hAnsi="Cambria Math" w:cs="Cambria Math"/>
              <w:sz w:val="24"/>
            </w:rPr>
            <m:t>⋯⋯⋯⋯⋯⋯</m:t>
          </m:r>
          <m:r>
            <m:rPr>
              <m:sty m:val="p"/>
            </m:rPr>
            <w:rPr>
              <w:rFonts w:ascii="Cambria Math" w:hAnsi="Cambria Math"/>
              <w:sz w:val="24"/>
            </w:rPr>
            <m:t>⋯⋯（</m:t>
          </m:r>
          <m:r>
            <m:rPr>
              <m:sty m:val="p"/>
            </m:rPr>
            <w:rPr>
              <w:rFonts w:hint="default" w:ascii="Cambria Math" w:hAnsi="Cambria Math"/>
              <w:sz w:val="24"/>
            </w:rPr>
            <m:t>4</m:t>
          </m:r>
          <m:r>
            <m:rPr>
              <m:sty m:val="p"/>
            </m:rPr>
            <w:rPr>
              <w:rFonts w:ascii="Cambria Math" w:hAnsi="Cambria Math"/>
              <w:sz w:val="24"/>
            </w:rPr>
            <m:t>）</m:t>
          </m:r>
        </m:oMath>
      </m:oMathPara>
    </w:p>
    <w:p w14:paraId="05EC3AB0">
      <w:pPr>
        <w:pStyle w:val="25"/>
        <w:ind w:firstLine="480"/>
        <w:rPr>
          <w:rFonts w:hint="default" w:hAnsi="Cambria Math"/>
          <w:sz w:val="24"/>
        </w:rPr>
      </w:pPr>
      <w:r>
        <w:rPr>
          <w:rFonts w:hAnsi="Cambria Math"/>
          <w:sz w:val="24"/>
        </w:rPr>
        <w:t>式中：</w:t>
      </w:r>
    </w:p>
    <w:p w14:paraId="52941CF2">
      <w:pPr>
        <w:pStyle w:val="25"/>
        <w:ind w:firstLine="420"/>
        <w:rPr>
          <w:rFonts w:hAnsi="宋体"/>
          <w:szCs w:val="21"/>
        </w:rPr>
      </w:pPr>
      <w:r>
        <w:rPr>
          <w:rFonts w:hAnsi="宋体"/>
          <w:szCs w:val="21"/>
        </w:rPr>
        <w:t xml:space="preserve"> Pi均——平均单项安全指标指数，为某类安全指标的所有单项安全指标指数的平均值。 Pi最大——最大单项安全指标指数，为某类安全指标的所有单项安全指标指数的最大值。</w:t>
      </w:r>
    </w:p>
    <w:p w14:paraId="172753CC">
      <w:pPr>
        <w:pStyle w:val="72"/>
        <w:spacing w:before="312" w:after="312"/>
        <w:rPr>
          <w:rFonts w:hint="default"/>
        </w:rPr>
      </w:pPr>
      <w:r>
        <w:t>检验规则</w:t>
      </w:r>
    </w:p>
    <w:p w14:paraId="5AC67174">
      <w:pPr>
        <w:pStyle w:val="73"/>
        <w:spacing w:before="156" w:after="156"/>
        <w:rPr>
          <w:rFonts w:hint="default"/>
        </w:rPr>
      </w:pPr>
      <w:r>
        <w:t>一般规则</w:t>
      </w:r>
    </w:p>
    <w:p w14:paraId="09FB5FC3">
      <w:pPr>
        <w:pStyle w:val="25"/>
        <w:ind w:firstLine="420"/>
        <w:rPr>
          <w:rFonts w:hint="default"/>
        </w:rPr>
      </w:pPr>
      <w:r>
        <w:rPr>
          <w:rFonts w:hint="default"/>
        </w:rPr>
        <w:t>按GB/T 5490 执行。</w:t>
      </w:r>
    </w:p>
    <w:p w14:paraId="0B956F8B">
      <w:pPr>
        <w:pStyle w:val="73"/>
        <w:spacing w:before="156" w:after="156"/>
        <w:rPr>
          <w:rFonts w:hint="default"/>
        </w:rPr>
      </w:pPr>
      <w:r>
        <w:t>出厂检验</w:t>
      </w:r>
    </w:p>
    <w:p w14:paraId="7EE4E7B5">
      <w:pPr>
        <w:pStyle w:val="25"/>
        <w:ind w:firstLine="420"/>
        <w:rPr>
          <w:rFonts w:hint="default"/>
        </w:rPr>
      </w:pPr>
      <w:r>
        <w:rPr>
          <w:rFonts w:hint="default"/>
        </w:rPr>
        <w:t>应按产品组批检验，检验指标按 4.1、4.2 执行。原料、设备和工艺有较大变化可能影响产品质量 时，应委托有资质的粮油质量检验机构进行检验。</w:t>
      </w:r>
    </w:p>
    <w:p w14:paraId="2E99FE25">
      <w:pPr>
        <w:pStyle w:val="73"/>
        <w:spacing w:before="156" w:after="156"/>
        <w:rPr>
          <w:rFonts w:hint="default"/>
        </w:rPr>
      </w:pPr>
      <w:r>
        <w:t>产品组批</w:t>
      </w:r>
    </w:p>
    <w:p w14:paraId="64B7A0CA">
      <w:pPr>
        <w:pStyle w:val="25"/>
        <w:ind w:firstLine="420"/>
        <w:rPr>
          <w:rFonts w:hint="default"/>
        </w:rPr>
      </w:pPr>
      <w:r>
        <w:rPr>
          <w:rFonts w:hint="default"/>
        </w:rPr>
        <w:t>同产地、同收获年度的原料、同工艺、同设备加工的大米为一个批次。</w:t>
      </w:r>
    </w:p>
    <w:p w14:paraId="73A04CEE">
      <w:pPr>
        <w:pStyle w:val="73"/>
        <w:spacing w:before="156" w:after="156"/>
        <w:rPr>
          <w:rFonts w:hint="default"/>
        </w:rPr>
      </w:pPr>
      <w:r>
        <w:t>判定规则</w:t>
      </w:r>
    </w:p>
    <w:p w14:paraId="67B447B6">
      <w:pPr>
        <w:pStyle w:val="25"/>
        <w:ind w:firstLine="420"/>
        <w:rPr>
          <w:rFonts w:hint="default"/>
        </w:rPr>
      </w:pPr>
      <w:r>
        <w:rPr>
          <w:rFonts w:hint="default"/>
        </w:rPr>
        <w:t>符合 4.1、4.2 和4.3 要求且提供了4.4追溯信息的大米，判定为“辽宁好粮油</w:t>
      </w:r>
      <w:r>
        <w:rPr>
          <w:rFonts w:hint="default"/>
        </w:rPr>
        <w:tab/>
      </w:r>
      <w:r>
        <w:rPr>
          <w:rFonts w:hint="default"/>
        </w:rPr>
        <w:t>桓仁大米”产品。</w:t>
      </w:r>
    </w:p>
    <w:p w14:paraId="0A2FF7B3">
      <w:pPr>
        <w:pStyle w:val="72"/>
        <w:spacing w:before="312" w:after="312"/>
        <w:rPr>
          <w:rFonts w:hint="default"/>
        </w:rPr>
      </w:pPr>
      <w:r>
        <w:t>标签标识</w:t>
      </w:r>
    </w:p>
    <w:p w14:paraId="6D3E34B0">
      <w:pPr>
        <w:pStyle w:val="73"/>
        <w:spacing w:before="156" w:after="156"/>
        <w:rPr>
          <w:rFonts w:ascii="宋体" w:hAnsi="宋体" w:eastAsia="宋体" w:cs="宋体"/>
        </w:rPr>
      </w:pPr>
      <w:r>
        <w:rPr>
          <w:rFonts w:ascii="宋体" w:hAnsi="宋体" w:eastAsia="宋体" w:cs="宋体"/>
        </w:rPr>
        <w:t>除应符合 GB 7718、GB/T 191 的规定外，还应注明产品的食味值、最佳食味期限及储存条件、 原料品种名称、原料产地、原料收获年度、碾米日期等，标注的净含量应为产品最大允许水分含量状况 下的质量。标签标识内容示例参见附录B。</w:t>
      </w:r>
    </w:p>
    <w:p w14:paraId="067839A7">
      <w:pPr>
        <w:pStyle w:val="73"/>
        <w:spacing w:before="156" w:after="156"/>
        <w:rPr>
          <w:rFonts w:ascii="宋体" w:hAnsi="宋体" w:eastAsia="宋体" w:cs="宋体"/>
        </w:rPr>
      </w:pPr>
      <w:r>
        <w:rPr>
          <w:rFonts w:hint="default" w:ascii="宋体" w:hAnsi="宋体" w:eastAsia="宋体" w:cs="宋体"/>
        </w:rPr>
        <w:t>非预包装产品应在随行文件中注明品种名称、产地、收获年度、质量指标、安全指数等，并附检 验报告或盖章的复印件。</w:t>
      </w:r>
    </w:p>
    <w:p w14:paraId="4D487CEE">
      <w:pPr>
        <w:pStyle w:val="73"/>
        <w:spacing w:before="156" w:after="156"/>
        <w:rPr>
          <w:rFonts w:ascii="宋体" w:hAnsi="宋体" w:eastAsia="宋体" w:cs="宋体"/>
        </w:rPr>
      </w:pPr>
      <w:r>
        <w:rPr>
          <w:rFonts w:hint="default" w:ascii="宋体" w:hAnsi="宋体" w:eastAsia="宋体" w:cs="宋体"/>
        </w:rPr>
        <w:t>标注二维码，内容包括 4.1、4.2 指标的检验值和 4.4 的追溯信息。</w:t>
      </w:r>
    </w:p>
    <w:p w14:paraId="70ED9851">
      <w:pPr>
        <w:pStyle w:val="73"/>
        <w:spacing w:before="156" w:after="156"/>
        <w:rPr>
          <w:rFonts w:ascii="宋体" w:hAnsi="宋体" w:eastAsia="宋体" w:cs="宋体"/>
        </w:rPr>
      </w:pPr>
      <w:r>
        <w:rPr>
          <w:rFonts w:hint="default" w:ascii="宋体" w:hAnsi="宋体" w:eastAsia="宋体" w:cs="宋体"/>
        </w:rPr>
        <w:t>煮饭时米和水的参考比例。</w:t>
      </w:r>
    </w:p>
    <w:p w14:paraId="65F93DCE">
      <w:pPr>
        <w:pStyle w:val="72"/>
        <w:spacing w:before="312" w:after="312"/>
        <w:rPr>
          <w:rFonts w:hint="default"/>
        </w:rPr>
      </w:pPr>
      <w:r>
        <w:t>包装、储存和运输</w:t>
      </w:r>
    </w:p>
    <w:p w14:paraId="25C4F4B5">
      <w:pPr>
        <w:pStyle w:val="25"/>
        <w:ind w:firstLine="420"/>
        <w:rPr>
          <w:rFonts w:hint="default"/>
        </w:rPr>
      </w:pPr>
      <w:r>
        <w:rPr>
          <w:rFonts w:hint="default"/>
        </w:rPr>
        <w:t>按 GB/T 1354 执行。</w:t>
      </w:r>
    </w:p>
    <w:p w14:paraId="0FEC9AAD">
      <w:pPr>
        <w:pStyle w:val="25"/>
        <w:ind w:firstLine="420"/>
        <w:jc w:val="center"/>
        <w:rPr>
          <w:rFonts w:hint="default"/>
        </w:rPr>
      </w:pPr>
      <w:bookmarkStart w:id="2" w:name="EndLine"/>
      <w:r>
        <w:drawing>
          <wp:inline distT="0" distB="0" distL="114300" distR="114300">
            <wp:extent cx="1485900" cy="317500"/>
            <wp:effectExtent l="0" t="0" r="0" b="6350"/>
            <wp:docPr id="2" name="图片 2" descr="EndLine"/>
            <wp:cNvGraphicFramePr/>
            <a:graphic xmlns:a="http://schemas.openxmlformats.org/drawingml/2006/main">
              <a:graphicData uri="http://schemas.openxmlformats.org/drawingml/2006/picture">
                <pic:pic xmlns:pic="http://schemas.openxmlformats.org/drawingml/2006/picture">
                  <pic:nvPicPr>
                    <pic:cNvPr id="2" name="图片 2" descr="EndLine"/>
                    <pic:cNvPicPr/>
                  </pic:nvPicPr>
                  <pic:blipFill>
                    <a:blip r:embed="rId6"/>
                    <a:stretch>
                      <a:fillRect/>
                    </a:stretch>
                  </pic:blipFill>
                  <pic:spPr>
                    <a:xfrm>
                      <a:off x="0" y="0"/>
                      <a:ext cx="1485900" cy="317500"/>
                    </a:xfrm>
                    <a:prstGeom prst="rect">
                      <a:avLst/>
                    </a:prstGeom>
                  </pic:spPr>
                </pic:pic>
              </a:graphicData>
            </a:graphic>
          </wp:inline>
        </w:drawing>
      </w:r>
      <w:bookmarkEnd w:id="2"/>
      <w:bookmarkStart w:id="3" w:name="BKFL"/>
    </w:p>
    <w:p w14:paraId="02F686F0">
      <w:pPr>
        <w:pStyle w:val="88"/>
        <w:spacing w:before="78" w:after="156"/>
      </w:pPr>
      <w:r>
        <w:br w:type="textWrapping"/>
      </w:r>
      <w:r>
        <w:t>（规范性）</w:t>
      </w:r>
      <w:r>
        <w:br w:type="textWrapping"/>
      </w:r>
      <w:r>
        <w:t>追溯体系</w:t>
      </w:r>
    </w:p>
    <w:p w14:paraId="46A35F7B">
      <w:pPr>
        <w:pStyle w:val="25"/>
        <w:ind w:firstLine="420"/>
        <w:rPr>
          <w:rFonts w:hint="default"/>
        </w:rPr>
      </w:pPr>
      <w:r>
        <w:t>大米质量追溯信息参见表A.1。</w:t>
      </w:r>
    </w:p>
    <w:p w14:paraId="0492D7AB">
      <w:pPr>
        <w:pStyle w:val="102"/>
        <w:spacing w:before="156" w:after="156"/>
      </w:pPr>
      <w:r>
        <w:tab/>
      </w:r>
      <w:r>
        <w:t>大米质量追溯信息</w:t>
      </w:r>
    </w:p>
    <w:p w14:paraId="10686768">
      <w:pPr>
        <w:pStyle w:val="25"/>
        <w:ind w:firstLine="420"/>
        <w:rPr>
          <w:rFonts w:hint="default"/>
        </w:rPr>
      </w:pPr>
    </w:p>
    <w:tbl>
      <w:tblPr>
        <w:tblStyle w:val="22"/>
        <w:tblW w:w="956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85"/>
        <w:gridCol w:w="1999"/>
        <w:gridCol w:w="6282"/>
      </w:tblGrid>
      <w:tr w14:paraId="561BD9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2" w:hRule="atLeast"/>
          <w:tblHeader/>
          <w:jc w:val="center"/>
        </w:trPr>
        <w:tc>
          <w:tcPr>
            <w:tcW w:w="1285" w:type="dxa"/>
            <w:tcBorders>
              <w:bottom w:val="single" w:color="auto" w:sz="8" w:space="0"/>
            </w:tcBorders>
            <w:vAlign w:val="center"/>
          </w:tcPr>
          <w:p w14:paraId="1053C1AC">
            <w:pPr>
              <w:pStyle w:val="111"/>
              <w:widowControl w:val="0"/>
              <w:snapToGrid w:val="0"/>
              <w:ind w:firstLine="0" w:firstLineChars="0"/>
              <w:rPr>
                <w:rFonts w:hint="default"/>
                <w:bCs/>
                <w:sz w:val="21"/>
              </w:rPr>
            </w:pPr>
            <w:r>
              <w:rPr>
                <w:rFonts w:hAnsi="宋体"/>
                <w:bCs/>
                <w:sz w:val="21"/>
                <w:szCs w:val="21"/>
              </w:rPr>
              <w:t>信息分类</w:t>
            </w:r>
          </w:p>
        </w:tc>
        <w:tc>
          <w:tcPr>
            <w:tcW w:w="8281" w:type="dxa"/>
            <w:gridSpan w:val="2"/>
            <w:tcBorders>
              <w:bottom w:val="single" w:color="auto" w:sz="8" w:space="0"/>
            </w:tcBorders>
            <w:vAlign w:val="center"/>
          </w:tcPr>
          <w:p w14:paraId="7839A27F">
            <w:pPr>
              <w:pStyle w:val="111"/>
              <w:widowControl w:val="0"/>
              <w:snapToGrid w:val="0"/>
              <w:ind w:firstLine="0" w:firstLineChars="0"/>
              <w:rPr>
                <w:rFonts w:hint="default"/>
                <w:bCs/>
                <w:sz w:val="21"/>
              </w:rPr>
            </w:pPr>
            <w:r>
              <w:rPr>
                <w:rFonts w:hAnsi="宋体"/>
                <w:bCs/>
                <w:sz w:val="21"/>
                <w:szCs w:val="21"/>
              </w:rPr>
              <w:t>追溯信息</w:t>
            </w:r>
          </w:p>
        </w:tc>
      </w:tr>
      <w:tr w14:paraId="14419E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85" w:type="dxa"/>
            <w:vMerge w:val="restart"/>
            <w:tcBorders>
              <w:top w:val="single" w:color="auto" w:sz="8" w:space="0"/>
            </w:tcBorders>
            <w:vAlign w:val="center"/>
          </w:tcPr>
          <w:p w14:paraId="05656530">
            <w:pPr>
              <w:pStyle w:val="111"/>
              <w:widowControl w:val="0"/>
              <w:snapToGrid w:val="0"/>
              <w:ind w:firstLine="0" w:firstLineChars="0"/>
              <w:rPr>
                <w:rFonts w:hint="default"/>
              </w:rPr>
            </w:pPr>
            <w:r>
              <w:rPr>
                <w:rFonts w:hAnsi="宋体"/>
                <w:szCs w:val="21"/>
              </w:rPr>
              <w:t>原料信息</w:t>
            </w:r>
          </w:p>
        </w:tc>
        <w:tc>
          <w:tcPr>
            <w:tcW w:w="1999" w:type="dxa"/>
            <w:tcBorders>
              <w:top w:val="single" w:color="auto" w:sz="8" w:space="0"/>
            </w:tcBorders>
            <w:vAlign w:val="center"/>
          </w:tcPr>
          <w:p w14:paraId="1DE79DA2">
            <w:pPr>
              <w:pStyle w:val="121"/>
              <w:snapToGrid w:val="0"/>
              <w:jc w:val="center"/>
              <w:rPr>
                <w:rFonts w:hint="default"/>
                <w:sz w:val="18"/>
              </w:rPr>
            </w:pPr>
            <w:r>
              <w:rPr>
                <w:rFonts w:hAnsi="宋体"/>
                <w:sz w:val="18"/>
                <w:szCs w:val="21"/>
              </w:rPr>
              <w:t>品种名称</w:t>
            </w:r>
          </w:p>
        </w:tc>
        <w:tc>
          <w:tcPr>
            <w:tcW w:w="6282" w:type="dxa"/>
            <w:tcBorders>
              <w:top w:val="single" w:color="auto" w:sz="8" w:space="0"/>
            </w:tcBorders>
            <w:vAlign w:val="center"/>
          </w:tcPr>
          <w:p w14:paraId="5997165C">
            <w:pPr>
              <w:pStyle w:val="121"/>
              <w:snapToGrid w:val="0"/>
              <w:spacing w:before="11"/>
              <w:jc w:val="left"/>
              <w:rPr>
                <w:rFonts w:hint="default"/>
                <w:sz w:val="18"/>
              </w:rPr>
            </w:pPr>
            <w:r>
              <w:rPr>
                <w:rFonts w:hAnsi="宋体"/>
                <w:sz w:val="18"/>
                <w:szCs w:val="18"/>
              </w:rPr>
              <w:t>以品种审定名称为准。</w:t>
            </w:r>
          </w:p>
        </w:tc>
      </w:tr>
      <w:tr w14:paraId="212A1C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85" w:type="dxa"/>
            <w:vMerge w:val="continue"/>
            <w:vAlign w:val="center"/>
          </w:tcPr>
          <w:p w14:paraId="34643E0E">
            <w:pPr>
              <w:pStyle w:val="111"/>
              <w:widowControl w:val="0"/>
              <w:snapToGrid w:val="0"/>
              <w:ind w:firstLine="0" w:firstLineChars="0"/>
              <w:rPr>
                <w:rFonts w:hint="default"/>
              </w:rPr>
            </w:pPr>
          </w:p>
        </w:tc>
        <w:tc>
          <w:tcPr>
            <w:tcW w:w="1999" w:type="dxa"/>
            <w:vAlign w:val="center"/>
          </w:tcPr>
          <w:p w14:paraId="04AD7FBF">
            <w:pPr>
              <w:pStyle w:val="121"/>
              <w:snapToGrid w:val="0"/>
              <w:jc w:val="center"/>
              <w:rPr>
                <w:rFonts w:hint="default"/>
                <w:sz w:val="18"/>
              </w:rPr>
            </w:pPr>
            <w:r>
              <w:rPr>
                <w:rFonts w:hAnsi="宋体"/>
                <w:sz w:val="18"/>
                <w:szCs w:val="21"/>
              </w:rPr>
              <w:t>原产地/生产基地</w:t>
            </w:r>
          </w:p>
        </w:tc>
        <w:tc>
          <w:tcPr>
            <w:tcW w:w="6282" w:type="dxa"/>
            <w:vAlign w:val="center"/>
          </w:tcPr>
          <w:p w14:paraId="0F0A8201">
            <w:pPr>
              <w:pStyle w:val="121"/>
              <w:snapToGrid w:val="0"/>
              <w:spacing w:before="10"/>
              <w:jc w:val="left"/>
              <w:rPr>
                <w:rFonts w:hint="default"/>
                <w:sz w:val="18"/>
              </w:rPr>
            </w:pPr>
            <w:r>
              <w:rPr>
                <w:rFonts w:hAnsi="宋体"/>
                <w:sz w:val="18"/>
                <w:szCs w:val="18"/>
              </w:rPr>
              <w:t>产地信息到村镇或农场，如：xx 村镇或 xx</w:t>
            </w:r>
            <w:r>
              <w:rPr>
                <w:rFonts w:hAnsi="宋体"/>
                <w:spacing w:val="-3"/>
                <w:sz w:val="18"/>
                <w:szCs w:val="18"/>
              </w:rPr>
              <w:t xml:space="preserve"> </w:t>
            </w:r>
            <w:r>
              <w:rPr>
                <w:rFonts w:hAnsi="宋体"/>
                <w:sz w:val="18"/>
                <w:szCs w:val="18"/>
              </w:rPr>
              <w:t>农场。</w:t>
            </w:r>
          </w:p>
        </w:tc>
      </w:tr>
      <w:tr w14:paraId="0285B5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85" w:type="dxa"/>
            <w:vMerge w:val="continue"/>
            <w:vAlign w:val="center"/>
          </w:tcPr>
          <w:p w14:paraId="678142AE">
            <w:pPr>
              <w:pStyle w:val="111"/>
              <w:widowControl w:val="0"/>
              <w:snapToGrid w:val="0"/>
              <w:ind w:firstLine="0" w:firstLineChars="0"/>
              <w:rPr>
                <w:rFonts w:hint="default"/>
              </w:rPr>
            </w:pPr>
          </w:p>
        </w:tc>
        <w:tc>
          <w:tcPr>
            <w:tcW w:w="1999" w:type="dxa"/>
            <w:vAlign w:val="center"/>
          </w:tcPr>
          <w:p w14:paraId="64E7F1C3">
            <w:pPr>
              <w:pStyle w:val="121"/>
              <w:snapToGrid w:val="0"/>
              <w:jc w:val="center"/>
              <w:rPr>
                <w:rFonts w:hint="default"/>
                <w:sz w:val="18"/>
              </w:rPr>
            </w:pPr>
            <w:r>
              <w:rPr>
                <w:rFonts w:hAnsi="宋体"/>
                <w:sz w:val="18"/>
                <w:szCs w:val="21"/>
              </w:rPr>
              <w:t>收获时间</w:t>
            </w:r>
          </w:p>
        </w:tc>
        <w:tc>
          <w:tcPr>
            <w:tcW w:w="6282" w:type="dxa"/>
            <w:vAlign w:val="center"/>
          </w:tcPr>
          <w:p w14:paraId="3132BCE7">
            <w:pPr>
              <w:pStyle w:val="121"/>
              <w:snapToGrid w:val="0"/>
              <w:spacing w:before="10"/>
              <w:jc w:val="left"/>
              <w:rPr>
                <w:rFonts w:hint="default"/>
                <w:sz w:val="18"/>
              </w:rPr>
            </w:pPr>
            <w:r>
              <w:rPr>
                <w:rFonts w:hAnsi="宋体"/>
                <w:sz w:val="18"/>
                <w:szCs w:val="18"/>
              </w:rPr>
              <w:t>xx 年 xx</w:t>
            </w:r>
            <w:r>
              <w:rPr>
                <w:rFonts w:hAnsi="宋体"/>
                <w:spacing w:val="-3"/>
                <w:sz w:val="18"/>
                <w:szCs w:val="18"/>
              </w:rPr>
              <w:t xml:space="preserve"> </w:t>
            </w:r>
            <w:r>
              <w:rPr>
                <w:rFonts w:hAnsi="宋体"/>
                <w:sz w:val="18"/>
                <w:szCs w:val="18"/>
              </w:rPr>
              <w:t>月收获。</w:t>
            </w:r>
          </w:p>
        </w:tc>
      </w:tr>
      <w:tr w14:paraId="1BFDF6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85" w:type="dxa"/>
            <w:vMerge w:val="continue"/>
            <w:vAlign w:val="center"/>
          </w:tcPr>
          <w:p w14:paraId="5E8EB3D9">
            <w:pPr>
              <w:pStyle w:val="111"/>
              <w:widowControl w:val="0"/>
              <w:snapToGrid w:val="0"/>
              <w:ind w:firstLine="0" w:firstLineChars="0"/>
              <w:rPr>
                <w:rFonts w:hint="default"/>
              </w:rPr>
            </w:pPr>
          </w:p>
        </w:tc>
        <w:tc>
          <w:tcPr>
            <w:tcW w:w="1999" w:type="dxa"/>
            <w:vAlign w:val="center"/>
          </w:tcPr>
          <w:p w14:paraId="23967915">
            <w:pPr>
              <w:pStyle w:val="121"/>
              <w:snapToGrid w:val="0"/>
              <w:spacing w:before="143"/>
              <w:jc w:val="center"/>
              <w:rPr>
                <w:rFonts w:hint="default"/>
                <w:sz w:val="18"/>
              </w:rPr>
            </w:pPr>
            <w:r>
              <w:rPr>
                <w:rFonts w:hAnsi="宋体"/>
                <w:sz w:val="18"/>
                <w:szCs w:val="21"/>
              </w:rPr>
              <w:t>化肥和农药使用记录</w:t>
            </w:r>
          </w:p>
        </w:tc>
        <w:tc>
          <w:tcPr>
            <w:tcW w:w="6282" w:type="dxa"/>
            <w:vAlign w:val="center"/>
          </w:tcPr>
          <w:p w14:paraId="5EAFDEAA">
            <w:pPr>
              <w:pStyle w:val="121"/>
              <w:snapToGrid w:val="0"/>
              <w:spacing w:before="10"/>
              <w:jc w:val="left"/>
              <w:rPr>
                <w:rFonts w:hint="default"/>
                <w:sz w:val="18"/>
              </w:rPr>
            </w:pPr>
            <w:r>
              <w:rPr>
                <w:rFonts w:hAnsi="宋体"/>
                <w:sz w:val="18"/>
                <w:szCs w:val="18"/>
              </w:rPr>
              <w:t xml:space="preserve">xx 年 xx </w:t>
            </w:r>
            <w:r>
              <w:rPr>
                <w:rFonts w:hAnsi="宋体"/>
                <w:spacing w:val="-6"/>
                <w:sz w:val="18"/>
                <w:szCs w:val="18"/>
              </w:rPr>
              <w:t xml:space="preserve">月，施用 </w:t>
            </w:r>
            <w:r>
              <w:rPr>
                <w:rFonts w:hAnsi="宋体"/>
                <w:sz w:val="18"/>
                <w:szCs w:val="18"/>
              </w:rPr>
              <w:t xml:space="preserve">xx 农药 xx </w:t>
            </w:r>
            <w:r>
              <w:rPr>
                <w:rFonts w:hAnsi="宋体"/>
                <w:spacing w:val="-4"/>
                <w:sz w:val="18"/>
                <w:szCs w:val="18"/>
              </w:rPr>
              <w:t xml:space="preserve">公斤/亩；xx </w:t>
            </w:r>
            <w:r>
              <w:rPr>
                <w:rFonts w:hAnsi="宋体"/>
                <w:sz w:val="18"/>
                <w:szCs w:val="18"/>
              </w:rPr>
              <w:t xml:space="preserve">年 xx </w:t>
            </w:r>
            <w:r>
              <w:rPr>
                <w:rFonts w:hAnsi="宋体"/>
                <w:spacing w:val="-6"/>
                <w:sz w:val="18"/>
                <w:szCs w:val="18"/>
              </w:rPr>
              <w:t xml:space="preserve">月，施用 </w:t>
            </w:r>
            <w:r>
              <w:rPr>
                <w:rFonts w:hAnsi="宋体"/>
                <w:sz w:val="18"/>
                <w:szCs w:val="18"/>
              </w:rPr>
              <w:t>xx</w:t>
            </w:r>
            <w:r>
              <w:rPr>
                <w:rFonts w:hAnsi="宋体"/>
                <w:spacing w:val="11"/>
                <w:sz w:val="18"/>
                <w:szCs w:val="18"/>
              </w:rPr>
              <w:t xml:space="preserve"> </w:t>
            </w:r>
            <w:r>
              <w:rPr>
                <w:rFonts w:hAnsi="宋体"/>
                <w:sz w:val="18"/>
                <w:szCs w:val="18"/>
              </w:rPr>
              <w:t>肥 料 xx</w:t>
            </w:r>
            <w:r>
              <w:rPr>
                <w:rFonts w:hAnsi="宋体"/>
                <w:spacing w:val="-3"/>
                <w:sz w:val="18"/>
                <w:szCs w:val="18"/>
              </w:rPr>
              <w:t xml:space="preserve"> </w:t>
            </w:r>
            <w:r>
              <w:rPr>
                <w:rFonts w:hAnsi="宋体"/>
                <w:sz w:val="18"/>
                <w:szCs w:val="18"/>
              </w:rPr>
              <w:t>公斤/亩。</w:t>
            </w:r>
          </w:p>
        </w:tc>
      </w:tr>
      <w:tr w14:paraId="131E3A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85" w:type="dxa"/>
            <w:vMerge w:val="continue"/>
            <w:vAlign w:val="center"/>
          </w:tcPr>
          <w:p w14:paraId="78F5B8E8">
            <w:pPr>
              <w:pStyle w:val="111"/>
              <w:widowControl w:val="0"/>
              <w:snapToGrid w:val="0"/>
              <w:ind w:firstLine="0" w:firstLineChars="0"/>
              <w:rPr>
                <w:rFonts w:hint="default"/>
              </w:rPr>
            </w:pPr>
          </w:p>
        </w:tc>
        <w:tc>
          <w:tcPr>
            <w:tcW w:w="1999" w:type="dxa"/>
            <w:vAlign w:val="center"/>
          </w:tcPr>
          <w:p w14:paraId="05C396F1">
            <w:pPr>
              <w:pStyle w:val="121"/>
              <w:snapToGrid w:val="0"/>
              <w:jc w:val="center"/>
              <w:rPr>
                <w:rFonts w:hAnsi="宋体"/>
                <w:sz w:val="18"/>
                <w:szCs w:val="21"/>
              </w:rPr>
            </w:pPr>
            <w:r>
              <w:rPr>
                <w:rFonts w:hAnsi="宋体"/>
                <w:sz w:val="18"/>
                <w:szCs w:val="21"/>
              </w:rPr>
              <w:t>干燥方式</w:t>
            </w:r>
          </w:p>
        </w:tc>
        <w:tc>
          <w:tcPr>
            <w:tcW w:w="6282" w:type="dxa"/>
            <w:vAlign w:val="center"/>
          </w:tcPr>
          <w:p w14:paraId="3B825C5D">
            <w:pPr>
              <w:pStyle w:val="121"/>
              <w:snapToGrid w:val="0"/>
              <w:jc w:val="center"/>
              <w:rPr>
                <w:rFonts w:hAnsi="宋体"/>
                <w:sz w:val="18"/>
                <w:szCs w:val="21"/>
              </w:rPr>
            </w:pPr>
            <w:r>
              <w:rPr>
                <w:rFonts w:hAnsi="宋体"/>
                <w:sz w:val="18"/>
                <w:szCs w:val="21"/>
              </w:rPr>
              <w:t>晾晒、烘干（塔式、箱式、烘干温度、降水幅度、降水速率）</w:t>
            </w:r>
          </w:p>
        </w:tc>
      </w:tr>
      <w:tr w14:paraId="7BE4C7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85" w:type="dxa"/>
            <w:vMerge w:val="continue"/>
            <w:vAlign w:val="center"/>
          </w:tcPr>
          <w:p w14:paraId="09AB64E9">
            <w:pPr>
              <w:pStyle w:val="111"/>
              <w:widowControl w:val="0"/>
              <w:snapToGrid w:val="0"/>
              <w:ind w:firstLine="0" w:firstLineChars="0"/>
              <w:rPr>
                <w:rFonts w:hint="default"/>
              </w:rPr>
            </w:pPr>
          </w:p>
        </w:tc>
        <w:tc>
          <w:tcPr>
            <w:tcW w:w="1999" w:type="dxa"/>
            <w:vAlign w:val="center"/>
          </w:tcPr>
          <w:p w14:paraId="0F4B02D5">
            <w:pPr>
              <w:pStyle w:val="121"/>
              <w:snapToGrid w:val="0"/>
              <w:jc w:val="center"/>
              <w:rPr>
                <w:rFonts w:hAnsi="宋体"/>
                <w:sz w:val="18"/>
                <w:szCs w:val="21"/>
              </w:rPr>
            </w:pPr>
            <w:r>
              <w:rPr>
                <w:rFonts w:hAnsi="宋体"/>
                <w:sz w:val="18"/>
                <w:szCs w:val="21"/>
              </w:rPr>
              <w:t>储存方式</w:t>
            </w:r>
          </w:p>
        </w:tc>
        <w:tc>
          <w:tcPr>
            <w:tcW w:w="6282" w:type="dxa"/>
            <w:vAlign w:val="center"/>
          </w:tcPr>
          <w:p w14:paraId="4BB86418">
            <w:pPr>
              <w:pStyle w:val="121"/>
              <w:snapToGrid w:val="0"/>
              <w:jc w:val="center"/>
              <w:rPr>
                <w:rFonts w:hAnsi="宋体"/>
                <w:sz w:val="18"/>
                <w:szCs w:val="21"/>
              </w:rPr>
            </w:pPr>
            <w:r>
              <w:rPr>
                <w:rFonts w:hAnsi="宋体"/>
                <w:sz w:val="18"/>
                <w:szCs w:val="21"/>
              </w:rPr>
              <w:t>xx 仓型储存，仓储温度为常规温度或低温或准低温</w:t>
            </w:r>
          </w:p>
        </w:tc>
      </w:tr>
      <w:tr w14:paraId="3252A9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85" w:type="dxa"/>
            <w:vMerge w:val="continue"/>
            <w:vAlign w:val="center"/>
          </w:tcPr>
          <w:p w14:paraId="12D30B6D">
            <w:pPr>
              <w:pStyle w:val="111"/>
              <w:widowControl w:val="0"/>
              <w:snapToGrid w:val="0"/>
              <w:ind w:firstLine="0" w:firstLineChars="0"/>
              <w:rPr>
                <w:rFonts w:hint="default"/>
              </w:rPr>
            </w:pPr>
          </w:p>
        </w:tc>
        <w:tc>
          <w:tcPr>
            <w:tcW w:w="1999" w:type="dxa"/>
            <w:vAlign w:val="center"/>
          </w:tcPr>
          <w:p w14:paraId="456A0E5E">
            <w:pPr>
              <w:pStyle w:val="121"/>
              <w:snapToGrid w:val="0"/>
              <w:jc w:val="center"/>
              <w:rPr>
                <w:rFonts w:hAnsi="宋体"/>
                <w:sz w:val="18"/>
                <w:szCs w:val="21"/>
              </w:rPr>
            </w:pPr>
            <w:r>
              <w:rPr>
                <w:rFonts w:hAnsi="宋体"/>
                <w:sz w:val="18"/>
                <w:szCs w:val="21"/>
              </w:rPr>
              <w:t>储存地址</w:t>
            </w:r>
          </w:p>
        </w:tc>
        <w:tc>
          <w:tcPr>
            <w:tcW w:w="6282" w:type="dxa"/>
            <w:vAlign w:val="center"/>
          </w:tcPr>
          <w:p w14:paraId="10B607B7">
            <w:pPr>
              <w:pStyle w:val="121"/>
              <w:snapToGrid w:val="0"/>
              <w:jc w:val="center"/>
              <w:rPr>
                <w:rFonts w:hAnsi="宋体"/>
                <w:sz w:val="18"/>
                <w:szCs w:val="21"/>
              </w:rPr>
            </w:pPr>
            <w:r>
              <w:rPr>
                <w:rFonts w:hAnsi="宋体"/>
                <w:sz w:val="18"/>
                <w:szCs w:val="21"/>
              </w:rPr>
              <w:t>xx 粮库 xx 仓</w:t>
            </w:r>
          </w:p>
        </w:tc>
      </w:tr>
      <w:tr w14:paraId="526B4F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85" w:type="dxa"/>
            <w:vMerge w:val="continue"/>
            <w:vAlign w:val="center"/>
          </w:tcPr>
          <w:p w14:paraId="28418D01">
            <w:pPr>
              <w:pStyle w:val="111"/>
              <w:widowControl w:val="0"/>
              <w:snapToGrid w:val="0"/>
              <w:ind w:firstLine="0" w:firstLineChars="0"/>
              <w:rPr>
                <w:rFonts w:hint="default"/>
              </w:rPr>
            </w:pPr>
          </w:p>
        </w:tc>
        <w:tc>
          <w:tcPr>
            <w:tcW w:w="1999" w:type="dxa"/>
            <w:vAlign w:val="center"/>
          </w:tcPr>
          <w:p w14:paraId="75CB3634">
            <w:pPr>
              <w:pStyle w:val="121"/>
              <w:snapToGrid w:val="0"/>
              <w:jc w:val="center"/>
              <w:rPr>
                <w:rFonts w:hAnsi="宋体"/>
                <w:sz w:val="18"/>
                <w:szCs w:val="21"/>
              </w:rPr>
            </w:pPr>
            <w:r>
              <w:rPr>
                <w:rFonts w:hAnsi="宋体"/>
                <w:sz w:val="18"/>
                <w:szCs w:val="21"/>
              </w:rPr>
              <w:t>粮情报告</w:t>
            </w:r>
          </w:p>
        </w:tc>
        <w:tc>
          <w:tcPr>
            <w:tcW w:w="6282" w:type="dxa"/>
            <w:vAlign w:val="center"/>
          </w:tcPr>
          <w:p w14:paraId="0FEB56BD">
            <w:pPr>
              <w:pStyle w:val="121"/>
              <w:snapToGrid w:val="0"/>
              <w:jc w:val="center"/>
              <w:rPr>
                <w:rFonts w:hAnsi="宋体"/>
                <w:sz w:val="18"/>
                <w:szCs w:val="21"/>
              </w:rPr>
            </w:pPr>
            <w:r>
              <w:rPr>
                <w:rFonts w:hAnsi="宋体"/>
                <w:sz w:val="18"/>
                <w:szCs w:val="21"/>
              </w:rPr>
              <w:t>xx 时间采用 xx 方式熏蒸或防虫等</w:t>
            </w:r>
          </w:p>
        </w:tc>
      </w:tr>
      <w:tr w14:paraId="453066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85" w:type="dxa"/>
            <w:vMerge w:val="continue"/>
            <w:vAlign w:val="center"/>
          </w:tcPr>
          <w:p w14:paraId="79CB313E">
            <w:pPr>
              <w:pStyle w:val="111"/>
              <w:widowControl w:val="0"/>
              <w:snapToGrid w:val="0"/>
              <w:ind w:firstLine="0" w:firstLineChars="0"/>
              <w:rPr>
                <w:rFonts w:hint="default"/>
              </w:rPr>
            </w:pPr>
          </w:p>
        </w:tc>
        <w:tc>
          <w:tcPr>
            <w:tcW w:w="1999" w:type="dxa"/>
            <w:vAlign w:val="center"/>
          </w:tcPr>
          <w:p w14:paraId="032D1B2D">
            <w:pPr>
              <w:pStyle w:val="121"/>
              <w:snapToGrid w:val="0"/>
              <w:jc w:val="center"/>
              <w:rPr>
                <w:rFonts w:hAnsi="宋体"/>
                <w:sz w:val="18"/>
                <w:szCs w:val="21"/>
              </w:rPr>
            </w:pPr>
            <w:r>
              <w:rPr>
                <w:rFonts w:hAnsi="宋体"/>
                <w:sz w:val="18"/>
                <w:szCs w:val="21"/>
              </w:rPr>
              <w:t>储存量</w:t>
            </w:r>
          </w:p>
        </w:tc>
        <w:tc>
          <w:tcPr>
            <w:tcW w:w="6282" w:type="dxa"/>
            <w:vAlign w:val="center"/>
          </w:tcPr>
          <w:p w14:paraId="7478465D">
            <w:pPr>
              <w:pStyle w:val="121"/>
              <w:snapToGrid w:val="0"/>
              <w:jc w:val="center"/>
              <w:rPr>
                <w:rFonts w:hAnsi="宋体"/>
                <w:sz w:val="18"/>
                <w:szCs w:val="21"/>
              </w:rPr>
            </w:pPr>
            <w:r>
              <w:rPr>
                <w:rFonts w:hAnsi="宋体"/>
                <w:sz w:val="18"/>
                <w:szCs w:val="21"/>
              </w:rPr>
              <w:t>xx 吨，显示可交易的数量</w:t>
            </w:r>
          </w:p>
        </w:tc>
      </w:tr>
      <w:tr w14:paraId="081A81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85" w:type="dxa"/>
            <w:vMerge w:val="restart"/>
            <w:vAlign w:val="center"/>
          </w:tcPr>
          <w:p w14:paraId="6CE2EC87">
            <w:pPr>
              <w:pStyle w:val="111"/>
              <w:widowControl w:val="0"/>
              <w:snapToGrid w:val="0"/>
              <w:ind w:firstLine="0" w:firstLineChars="0"/>
              <w:rPr>
                <w:rFonts w:hint="default"/>
              </w:rPr>
            </w:pPr>
            <w:r>
              <w:rPr>
                <w:rFonts w:hAnsi="宋体"/>
                <w:szCs w:val="21"/>
              </w:rPr>
              <w:t>生产信息</w:t>
            </w:r>
          </w:p>
        </w:tc>
        <w:tc>
          <w:tcPr>
            <w:tcW w:w="1999" w:type="dxa"/>
            <w:vAlign w:val="center"/>
          </w:tcPr>
          <w:p w14:paraId="5898DEE4">
            <w:pPr>
              <w:pStyle w:val="121"/>
              <w:snapToGrid w:val="0"/>
              <w:jc w:val="center"/>
              <w:rPr>
                <w:rFonts w:hAnsi="宋体"/>
                <w:sz w:val="18"/>
                <w:szCs w:val="21"/>
              </w:rPr>
            </w:pPr>
            <w:r>
              <w:rPr>
                <w:rFonts w:hAnsi="宋体"/>
                <w:sz w:val="18"/>
                <w:szCs w:val="21"/>
              </w:rPr>
              <w:t>碾米日期</w:t>
            </w:r>
          </w:p>
        </w:tc>
        <w:tc>
          <w:tcPr>
            <w:tcW w:w="6282" w:type="dxa"/>
            <w:vAlign w:val="center"/>
          </w:tcPr>
          <w:p w14:paraId="7BABC7BC">
            <w:pPr>
              <w:pStyle w:val="121"/>
              <w:snapToGrid w:val="0"/>
              <w:jc w:val="center"/>
              <w:rPr>
                <w:rFonts w:hAnsi="宋体"/>
                <w:sz w:val="18"/>
                <w:szCs w:val="21"/>
              </w:rPr>
            </w:pPr>
            <w:r>
              <w:rPr>
                <w:rFonts w:hAnsi="宋体"/>
                <w:sz w:val="18"/>
                <w:szCs w:val="21"/>
              </w:rPr>
              <w:t>xx 年 xx 月 xx 日</w:t>
            </w:r>
          </w:p>
        </w:tc>
      </w:tr>
      <w:tr w14:paraId="197451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85" w:type="dxa"/>
            <w:vMerge w:val="continue"/>
            <w:vAlign w:val="center"/>
          </w:tcPr>
          <w:p w14:paraId="7BEB49DC">
            <w:pPr>
              <w:pStyle w:val="111"/>
              <w:widowControl w:val="0"/>
              <w:snapToGrid w:val="0"/>
              <w:ind w:firstLine="0" w:firstLineChars="0"/>
              <w:rPr>
                <w:rFonts w:hint="default"/>
              </w:rPr>
            </w:pPr>
          </w:p>
        </w:tc>
        <w:tc>
          <w:tcPr>
            <w:tcW w:w="1999" w:type="dxa"/>
            <w:vAlign w:val="center"/>
          </w:tcPr>
          <w:p w14:paraId="0C7D775C">
            <w:pPr>
              <w:pStyle w:val="121"/>
              <w:snapToGrid w:val="0"/>
              <w:jc w:val="center"/>
              <w:rPr>
                <w:rFonts w:hAnsi="宋体"/>
                <w:sz w:val="18"/>
                <w:szCs w:val="21"/>
              </w:rPr>
            </w:pPr>
            <w:r>
              <w:rPr>
                <w:rFonts w:hAnsi="宋体"/>
                <w:sz w:val="18"/>
                <w:szCs w:val="21"/>
              </w:rPr>
              <w:t>加工工艺</w:t>
            </w:r>
          </w:p>
        </w:tc>
        <w:tc>
          <w:tcPr>
            <w:tcW w:w="6282" w:type="dxa"/>
            <w:vAlign w:val="center"/>
          </w:tcPr>
          <w:p w14:paraId="4458B068">
            <w:pPr>
              <w:pStyle w:val="121"/>
              <w:snapToGrid w:val="0"/>
              <w:jc w:val="center"/>
              <w:rPr>
                <w:rFonts w:hAnsi="宋体"/>
                <w:sz w:val="18"/>
                <w:szCs w:val="21"/>
              </w:rPr>
            </w:pPr>
            <w:r>
              <w:rPr>
                <w:rFonts w:hAnsi="宋体"/>
                <w:sz w:val="18"/>
                <w:szCs w:val="21"/>
              </w:rPr>
              <w:t>xx 道砂辊 xx 道铁辊 xx 道抛光</w:t>
            </w:r>
          </w:p>
        </w:tc>
      </w:tr>
      <w:tr w14:paraId="66ECFA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85" w:type="dxa"/>
            <w:vMerge w:val="continue"/>
            <w:vAlign w:val="center"/>
          </w:tcPr>
          <w:p w14:paraId="1E5A6165">
            <w:pPr>
              <w:pStyle w:val="111"/>
              <w:widowControl w:val="0"/>
              <w:snapToGrid w:val="0"/>
              <w:ind w:firstLine="0" w:firstLineChars="0"/>
              <w:rPr>
                <w:rFonts w:hint="default"/>
              </w:rPr>
            </w:pPr>
          </w:p>
        </w:tc>
        <w:tc>
          <w:tcPr>
            <w:tcW w:w="1999" w:type="dxa"/>
            <w:vAlign w:val="center"/>
          </w:tcPr>
          <w:p w14:paraId="0C572ED2">
            <w:pPr>
              <w:pStyle w:val="121"/>
              <w:snapToGrid w:val="0"/>
              <w:jc w:val="center"/>
              <w:rPr>
                <w:rFonts w:hAnsi="宋体"/>
                <w:sz w:val="18"/>
                <w:szCs w:val="21"/>
              </w:rPr>
            </w:pPr>
            <w:r>
              <w:rPr>
                <w:rFonts w:hAnsi="宋体"/>
                <w:sz w:val="18"/>
                <w:szCs w:val="21"/>
              </w:rPr>
              <w:t>储存方式</w:t>
            </w:r>
          </w:p>
        </w:tc>
        <w:tc>
          <w:tcPr>
            <w:tcW w:w="6282" w:type="dxa"/>
            <w:vAlign w:val="center"/>
          </w:tcPr>
          <w:p w14:paraId="07ABDA93">
            <w:pPr>
              <w:pStyle w:val="121"/>
              <w:snapToGrid w:val="0"/>
              <w:jc w:val="center"/>
              <w:rPr>
                <w:rFonts w:hAnsi="宋体"/>
                <w:sz w:val="18"/>
                <w:szCs w:val="21"/>
              </w:rPr>
            </w:pPr>
            <w:r>
              <w:rPr>
                <w:rFonts w:hAnsi="宋体"/>
                <w:sz w:val="18"/>
                <w:szCs w:val="21"/>
              </w:rPr>
              <w:t>常温或低温或准低温</w:t>
            </w:r>
          </w:p>
        </w:tc>
      </w:tr>
      <w:tr w14:paraId="4226D0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85" w:type="dxa"/>
            <w:vMerge w:val="continue"/>
            <w:vAlign w:val="center"/>
          </w:tcPr>
          <w:p w14:paraId="2C4ACE43">
            <w:pPr>
              <w:pStyle w:val="111"/>
              <w:widowControl w:val="0"/>
              <w:snapToGrid w:val="0"/>
              <w:ind w:firstLine="0" w:firstLineChars="0"/>
              <w:rPr>
                <w:rFonts w:hint="default"/>
              </w:rPr>
            </w:pPr>
          </w:p>
        </w:tc>
        <w:tc>
          <w:tcPr>
            <w:tcW w:w="1999" w:type="dxa"/>
            <w:vAlign w:val="center"/>
          </w:tcPr>
          <w:p w14:paraId="4CD7B0F6">
            <w:pPr>
              <w:pStyle w:val="121"/>
              <w:snapToGrid w:val="0"/>
              <w:jc w:val="center"/>
              <w:rPr>
                <w:rFonts w:hAnsi="宋体"/>
                <w:sz w:val="18"/>
                <w:szCs w:val="21"/>
              </w:rPr>
            </w:pPr>
            <w:r>
              <w:rPr>
                <w:rFonts w:hAnsi="宋体"/>
                <w:sz w:val="18"/>
                <w:szCs w:val="21"/>
              </w:rPr>
              <w:t>运输方式</w:t>
            </w:r>
          </w:p>
        </w:tc>
        <w:tc>
          <w:tcPr>
            <w:tcW w:w="6282" w:type="dxa"/>
            <w:vAlign w:val="center"/>
          </w:tcPr>
          <w:p w14:paraId="09ACB84B">
            <w:pPr>
              <w:pStyle w:val="121"/>
              <w:snapToGrid w:val="0"/>
              <w:jc w:val="center"/>
              <w:rPr>
                <w:rFonts w:hAnsi="宋体"/>
                <w:sz w:val="18"/>
                <w:szCs w:val="21"/>
              </w:rPr>
            </w:pPr>
            <w:r>
              <w:rPr>
                <w:rFonts w:hAnsi="宋体"/>
                <w:sz w:val="18"/>
                <w:szCs w:val="21"/>
              </w:rPr>
              <w:t>铁路或公路，常温或冷链</w:t>
            </w:r>
          </w:p>
        </w:tc>
      </w:tr>
      <w:tr w14:paraId="331743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85" w:type="dxa"/>
            <w:vMerge w:val="continue"/>
            <w:vAlign w:val="center"/>
          </w:tcPr>
          <w:p w14:paraId="6617458E">
            <w:pPr>
              <w:pStyle w:val="111"/>
              <w:widowControl w:val="0"/>
              <w:snapToGrid w:val="0"/>
              <w:ind w:firstLine="0" w:firstLineChars="0"/>
              <w:rPr>
                <w:rFonts w:hint="default"/>
              </w:rPr>
            </w:pPr>
          </w:p>
        </w:tc>
        <w:tc>
          <w:tcPr>
            <w:tcW w:w="1999" w:type="dxa"/>
            <w:vAlign w:val="center"/>
          </w:tcPr>
          <w:p w14:paraId="25D455DE">
            <w:pPr>
              <w:pStyle w:val="121"/>
              <w:snapToGrid w:val="0"/>
              <w:jc w:val="center"/>
              <w:rPr>
                <w:rFonts w:hAnsi="宋体"/>
                <w:sz w:val="18"/>
                <w:szCs w:val="21"/>
              </w:rPr>
            </w:pPr>
            <w:r>
              <w:rPr>
                <w:rFonts w:hAnsi="宋体"/>
                <w:sz w:val="18"/>
                <w:szCs w:val="21"/>
              </w:rPr>
              <w:t>最佳食味期限</w:t>
            </w:r>
          </w:p>
        </w:tc>
        <w:tc>
          <w:tcPr>
            <w:tcW w:w="6282" w:type="dxa"/>
            <w:vAlign w:val="center"/>
          </w:tcPr>
          <w:p w14:paraId="5DEEF419">
            <w:pPr>
              <w:pStyle w:val="121"/>
              <w:snapToGrid w:val="0"/>
              <w:jc w:val="center"/>
              <w:rPr>
                <w:rFonts w:hAnsi="宋体"/>
                <w:sz w:val="18"/>
                <w:szCs w:val="21"/>
              </w:rPr>
            </w:pPr>
            <w:r>
              <w:rPr>
                <w:rFonts w:hAnsi="宋体"/>
                <w:sz w:val="18"/>
                <w:szCs w:val="21"/>
              </w:rPr>
              <w:t>xx年xx月xx日以前食用口味最佳</w:t>
            </w:r>
          </w:p>
        </w:tc>
      </w:tr>
      <w:tr w14:paraId="3E7C8D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85" w:type="dxa"/>
            <w:vAlign w:val="center"/>
          </w:tcPr>
          <w:p w14:paraId="1E8E8FA4">
            <w:pPr>
              <w:pStyle w:val="111"/>
              <w:widowControl w:val="0"/>
              <w:snapToGrid w:val="0"/>
              <w:ind w:firstLine="0" w:firstLineChars="0"/>
              <w:rPr>
                <w:rFonts w:hint="default"/>
              </w:rPr>
            </w:pPr>
            <w:r>
              <w:rPr>
                <w:rFonts w:hAnsi="宋体"/>
                <w:szCs w:val="21"/>
              </w:rPr>
              <w:t>其他信息</w:t>
            </w:r>
          </w:p>
        </w:tc>
        <w:tc>
          <w:tcPr>
            <w:tcW w:w="1999" w:type="dxa"/>
            <w:vAlign w:val="center"/>
          </w:tcPr>
          <w:p w14:paraId="5E294238">
            <w:pPr>
              <w:pStyle w:val="121"/>
              <w:snapToGrid w:val="0"/>
              <w:spacing w:before="10"/>
              <w:jc w:val="center"/>
              <w:rPr>
                <w:rFonts w:hint="default"/>
                <w:sz w:val="18"/>
              </w:rPr>
            </w:pPr>
            <w:r>
              <w:rPr>
                <w:rFonts w:hAnsi="宋体"/>
                <w:sz w:val="18"/>
                <w:szCs w:val="18"/>
              </w:rPr>
              <w:t>（可填）</w:t>
            </w:r>
          </w:p>
        </w:tc>
        <w:tc>
          <w:tcPr>
            <w:tcW w:w="6282" w:type="dxa"/>
            <w:vAlign w:val="center"/>
          </w:tcPr>
          <w:p w14:paraId="6FDE4EA9">
            <w:pPr>
              <w:pStyle w:val="121"/>
              <w:snapToGrid w:val="0"/>
              <w:spacing w:before="10"/>
              <w:jc w:val="left"/>
              <w:rPr>
                <w:rFonts w:hint="default"/>
                <w:sz w:val="18"/>
              </w:rPr>
            </w:pPr>
            <w:r>
              <w:rPr>
                <w:rFonts w:hAnsi="宋体"/>
                <w:spacing w:val="-3"/>
                <w:sz w:val="18"/>
                <w:szCs w:val="18"/>
              </w:rPr>
              <w:t>供应方或企业可根据实际情况增加反映交易大米其他特性的信息，如：</w:t>
            </w:r>
            <w:r>
              <w:rPr>
                <w:rFonts w:hAnsi="宋体"/>
                <w:spacing w:val="-70"/>
                <w:sz w:val="18"/>
                <w:szCs w:val="18"/>
              </w:rPr>
              <w:t xml:space="preserve"> </w:t>
            </w:r>
            <w:r>
              <w:rPr>
                <w:rFonts w:hAnsi="宋体"/>
                <w:sz w:val="18"/>
                <w:szCs w:val="18"/>
              </w:rPr>
              <w:t>富硒，有机、绿色、无公害等。</w:t>
            </w:r>
          </w:p>
        </w:tc>
      </w:tr>
    </w:tbl>
    <w:p w14:paraId="4B5E7420">
      <w:pPr>
        <w:pStyle w:val="25"/>
        <w:ind w:firstLine="420"/>
        <w:rPr>
          <w:rFonts w:hint="default"/>
        </w:rPr>
      </w:pPr>
    </w:p>
    <w:p w14:paraId="0199C918">
      <w:pPr>
        <w:rPr>
          <w:rFonts w:hint="default"/>
        </w:rPr>
      </w:pPr>
      <w:r>
        <w:br w:type="page"/>
      </w:r>
    </w:p>
    <w:p w14:paraId="03C44C8E">
      <w:pPr>
        <w:pStyle w:val="99"/>
        <w:rPr>
          <w:rFonts w:hint="default"/>
        </w:rPr>
      </w:pPr>
    </w:p>
    <w:p w14:paraId="1CB984DC">
      <w:pPr>
        <w:pStyle w:val="101"/>
        <w:rPr>
          <w:rFonts w:hint="default"/>
        </w:rPr>
      </w:pPr>
    </w:p>
    <w:p w14:paraId="142A9D69">
      <w:pPr>
        <w:pStyle w:val="88"/>
        <w:spacing w:before="78" w:after="156"/>
      </w:pPr>
      <w:r>
        <w:br w:type="textWrapping"/>
      </w:r>
      <w:r>
        <w:t>（资料性）</w:t>
      </w:r>
      <w:r>
        <w:br w:type="textWrapping"/>
      </w:r>
      <w:r>
        <w:t>标签标识</w:t>
      </w:r>
    </w:p>
    <w:bookmarkEnd w:id="3"/>
    <w:p w14:paraId="41E58326">
      <w:pPr>
        <w:pStyle w:val="25"/>
        <w:ind w:firstLine="420"/>
        <w:rPr>
          <w:rFonts w:hint="default"/>
        </w:rPr>
      </w:pPr>
      <w:r>
        <w:t>大米标签标识参见表B.1。</w:t>
      </w:r>
    </w:p>
    <w:p w14:paraId="1CE51B44">
      <w:pPr>
        <w:pStyle w:val="113"/>
        <w:numPr>
          <w:ilvl w:val="0"/>
          <w:numId w:val="0"/>
        </w:numPr>
        <w:spacing w:before="156" w:after="156"/>
      </w:pPr>
      <w:r>
        <w:t>表B.1 大米标签标识</w:t>
      </w:r>
    </w:p>
    <w:tbl>
      <w:tblPr>
        <w:tblStyle w:val="22"/>
        <w:tblW w:w="956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713"/>
        <w:gridCol w:w="2340"/>
        <w:gridCol w:w="3513"/>
      </w:tblGrid>
      <w:tr w14:paraId="65FD29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713" w:type="dxa"/>
            <w:tcBorders>
              <w:bottom w:val="single" w:color="auto" w:sz="8" w:space="0"/>
            </w:tcBorders>
            <w:vAlign w:val="center"/>
          </w:tcPr>
          <w:p w14:paraId="1C53C264">
            <w:pPr>
              <w:pStyle w:val="121"/>
              <w:snapToGrid w:val="0"/>
              <w:spacing w:before="11"/>
              <w:ind w:left="283"/>
              <w:jc w:val="left"/>
              <w:rPr>
                <w:rFonts w:hAnsi="宋体"/>
                <w:szCs w:val="21"/>
              </w:rPr>
            </w:pPr>
            <w:r>
              <w:rPr>
                <w:rFonts w:hAnsi="宋体"/>
                <w:szCs w:val="21"/>
              </w:rPr>
              <w:t>原料品种名称</w:t>
            </w:r>
          </w:p>
        </w:tc>
        <w:tc>
          <w:tcPr>
            <w:tcW w:w="5853" w:type="dxa"/>
            <w:gridSpan w:val="2"/>
            <w:tcBorders>
              <w:bottom w:val="single" w:color="auto" w:sz="8" w:space="0"/>
            </w:tcBorders>
            <w:vAlign w:val="center"/>
          </w:tcPr>
          <w:p w14:paraId="54554321">
            <w:pPr>
              <w:pStyle w:val="111"/>
              <w:widowControl w:val="0"/>
              <w:snapToGrid w:val="0"/>
              <w:ind w:firstLine="420"/>
              <w:jc w:val="left"/>
              <w:rPr>
                <w:rFonts w:hint="default"/>
                <w:sz w:val="21"/>
                <w:szCs w:val="21"/>
              </w:rPr>
            </w:pPr>
          </w:p>
        </w:tc>
      </w:tr>
      <w:tr w14:paraId="6EC9AC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713" w:type="dxa"/>
            <w:tcBorders>
              <w:top w:val="single" w:color="auto" w:sz="8" w:space="0"/>
            </w:tcBorders>
            <w:vAlign w:val="center"/>
          </w:tcPr>
          <w:p w14:paraId="3C3944A9">
            <w:pPr>
              <w:pStyle w:val="121"/>
              <w:snapToGrid w:val="0"/>
              <w:spacing w:before="11"/>
              <w:ind w:left="283"/>
              <w:jc w:val="left"/>
              <w:rPr>
                <w:rFonts w:hAnsi="宋体"/>
                <w:szCs w:val="21"/>
              </w:rPr>
            </w:pPr>
            <w:r>
              <w:rPr>
                <w:rFonts w:hAnsi="宋体"/>
                <w:szCs w:val="21"/>
              </w:rPr>
              <w:t>原料产地（到县级地域）</w:t>
            </w:r>
          </w:p>
        </w:tc>
        <w:tc>
          <w:tcPr>
            <w:tcW w:w="5853" w:type="dxa"/>
            <w:gridSpan w:val="2"/>
            <w:tcBorders>
              <w:top w:val="single" w:color="auto" w:sz="8" w:space="0"/>
            </w:tcBorders>
            <w:vAlign w:val="center"/>
          </w:tcPr>
          <w:p w14:paraId="7C0BE128">
            <w:pPr>
              <w:pStyle w:val="111"/>
              <w:widowControl w:val="0"/>
              <w:snapToGrid w:val="0"/>
              <w:ind w:firstLine="420"/>
              <w:jc w:val="left"/>
              <w:rPr>
                <w:rFonts w:hint="default"/>
                <w:sz w:val="21"/>
                <w:szCs w:val="21"/>
              </w:rPr>
            </w:pPr>
          </w:p>
        </w:tc>
      </w:tr>
      <w:tr w14:paraId="7ACEC7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713" w:type="dxa"/>
            <w:vAlign w:val="center"/>
          </w:tcPr>
          <w:p w14:paraId="49EF472B">
            <w:pPr>
              <w:pStyle w:val="121"/>
              <w:snapToGrid w:val="0"/>
              <w:spacing w:before="11"/>
              <w:ind w:left="283"/>
              <w:jc w:val="left"/>
              <w:rPr>
                <w:rFonts w:hAnsi="宋体"/>
                <w:szCs w:val="21"/>
              </w:rPr>
            </w:pPr>
            <w:r>
              <w:rPr>
                <w:rFonts w:hAnsi="宋体"/>
                <w:szCs w:val="21"/>
              </w:rPr>
              <w:t>原料收获时间（具体到年月）</w:t>
            </w:r>
          </w:p>
        </w:tc>
        <w:tc>
          <w:tcPr>
            <w:tcW w:w="5853" w:type="dxa"/>
            <w:gridSpan w:val="2"/>
            <w:vAlign w:val="center"/>
          </w:tcPr>
          <w:p w14:paraId="7B8A1183">
            <w:pPr>
              <w:pStyle w:val="111"/>
              <w:widowControl w:val="0"/>
              <w:snapToGrid w:val="0"/>
              <w:ind w:firstLine="420"/>
              <w:jc w:val="left"/>
              <w:rPr>
                <w:rFonts w:hint="default"/>
                <w:sz w:val="21"/>
                <w:szCs w:val="21"/>
              </w:rPr>
            </w:pPr>
          </w:p>
        </w:tc>
      </w:tr>
      <w:tr w14:paraId="6F6578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713" w:type="dxa"/>
            <w:vAlign w:val="center"/>
          </w:tcPr>
          <w:p w14:paraId="69B800BC">
            <w:pPr>
              <w:pStyle w:val="121"/>
              <w:snapToGrid w:val="0"/>
              <w:spacing w:before="10"/>
              <w:ind w:left="283"/>
              <w:jc w:val="left"/>
              <w:rPr>
                <w:rFonts w:hAnsi="宋体"/>
                <w:szCs w:val="21"/>
              </w:rPr>
            </w:pPr>
            <w:r>
              <w:rPr>
                <w:rFonts w:hAnsi="宋体"/>
                <w:szCs w:val="21"/>
              </w:rPr>
              <w:t>碾米日期（具体到年月日）</w:t>
            </w:r>
          </w:p>
        </w:tc>
        <w:tc>
          <w:tcPr>
            <w:tcW w:w="5853" w:type="dxa"/>
            <w:gridSpan w:val="2"/>
            <w:vAlign w:val="center"/>
          </w:tcPr>
          <w:p w14:paraId="53012E99">
            <w:pPr>
              <w:pStyle w:val="111"/>
              <w:widowControl w:val="0"/>
              <w:snapToGrid w:val="0"/>
              <w:ind w:firstLine="420"/>
              <w:jc w:val="left"/>
              <w:rPr>
                <w:rFonts w:hint="default"/>
                <w:sz w:val="21"/>
                <w:szCs w:val="21"/>
              </w:rPr>
            </w:pPr>
          </w:p>
        </w:tc>
      </w:tr>
      <w:tr w14:paraId="66CB91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713" w:type="dxa"/>
            <w:vAlign w:val="center"/>
          </w:tcPr>
          <w:p w14:paraId="22CE9251">
            <w:pPr>
              <w:pStyle w:val="121"/>
              <w:snapToGrid w:val="0"/>
              <w:spacing w:before="10"/>
              <w:ind w:left="312"/>
              <w:jc w:val="left"/>
              <w:rPr>
                <w:rFonts w:hAnsi="宋体"/>
                <w:szCs w:val="21"/>
              </w:rPr>
            </w:pPr>
            <w:r>
              <w:rPr>
                <w:rFonts w:hAnsi="宋体"/>
                <w:szCs w:val="21"/>
              </w:rPr>
              <w:t>食味值</w:t>
            </w:r>
          </w:p>
        </w:tc>
        <w:tc>
          <w:tcPr>
            <w:tcW w:w="5853" w:type="dxa"/>
            <w:gridSpan w:val="2"/>
            <w:vAlign w:val="center"/>
          </w:tcPr>
          <w:p w14:paraId="69CFDFDA">
            <w:pPr>
              <w:pStyle w:val="111"/>
              <w:widowControl w:val="0"/>
              <w:snapToGrid w:val="0"/>
              <w:ind w:firstLine="420"/>
              <w:jc w:val="left"/>
              <w:rPr>
                <w:rFonts w:hint="default"/>
                <w:sz w:val="21"/>
                <w:szCs w:val="21"/>
              </w:rPr>
            </w:pPr>
          </w:p>
        </w:tc>
      </w:tr>
      <w:tr w14:paraId="021C15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713" w:type="dxa"/>
            <w:vAlign w:val="center"/>
          </w:tcPr>
          <w:p w14:paraId="2A95E2C7">
            <w:pPr>
              <w:pStyle w:val="121"/>
              <w:snapToGrid w:val="0"/>
              <w:spacing w:before="12"/>
              <w:ind w:left="283"/>
              <w:jc w:val="left"/>
              <w:rPr>
                <w:rFonts w:hAnsi="宋体"/>
                <w:szCs w:val="21"/>
              </w:rPr>
            </w:pPr>
            <w:r>
              <w:rPr>
                <w:rFonts w:hAnsi="宋体"/>
                <w:szCs w:val="21"/>
              </w:rPr>
              <w:t>建议最佳食味期限及贮存条件</w:t>
            </w:r>
          </w:p>
        </w:tc>
        <w:tc>
          <w:tcPr>
            <w:tcW w:w="5853" w:type="dxa"/>
            <w:gridSpan w:val="2"/>
            <w:vAlign w:val="center"/>
          </w:tcPr>
          <w:p w14:paraId="5329B546">
            <w:pPr>
              <w:pStyle w:val="111"/>
              <w:widowControl w:val="0"/>
              <w:snapToGrid w:val="0"/>
              <w:ind w:firstLine="420"/>
              <w:jc w:val="left"/>
              <w:rPr>
                <w:rFonts w:hint="default"/>
                <w:sz w:val="21"/>
                <w:szCs w:val="21"/>
              </w:rPr>
            </w:pPr>
          </w:p>
        </w:tc>
      </w:tr>
      <w:tr w14:paraId="18BC2C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66" w:type="dxa"/>
            <w:gridSpan w:val="3"/>
            <w:vAlign w:val="center"/>
          </w:tcPr>
          <w:p w14:paraId="0A63262C">
            <w:pPr>
              <w:pStyle w:val="111"/>
              <w:widowControl w:val="0"/>
              <w:snapToGrid w:val="0"/>
              <w:ind w:firstLine="420"/>
              <w:jc w:val="left"/>
              <w:rPr>
                <w:rFonts w:hint="default"/>
                <w:sz w:val="21"/>
                <w:szCs w:val="21"/>
              </w:rPr>
            </w:pPr>
            <w:r>
              <w:rPr>
                <w:sz w:val="21"/>
                <w:szCs w:val="21"/>
              </w:rPr>
              <w:t>营养成分表</w:t>
            </w:r>
          </w:p>
        </w:tc>
      </w:tr>
      <w:tr w14:paraId="4C9E61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13" w:type="dxa"/>
            <w:tcBorders>
              <w:bottom w:val="single" w:color="auto" w:sz="4" w:space="0"/>
            </w:tcBorders>
            <w:vAlign w:val="center"/>
          </w:tcPr>
          <w:p w14:paraId="06098B6E">
            <w:pPr>
              <w:pStyle w:val="121"/>
              <w:snapToGrid w:val="0"/>
              <w:spacing w:before="11"/>
              <w:ind w:left="283"/>
              <w:jc w:val="left"/>
              <w:rPr>
                <w:rFonts w:hint="default"/>
                <w:szCs w:val="21"/>
              </w:rPr>
            </w:pPr>
            <w:r>
              <w:rPr>
                <w:rFonts w:hAnsi="宋体"/>
                <w:szCs w:val="21"/>
              </w:rPr>
              <w:t>项目</w:t>
            </w:r>
          </w:p>
        </w:tc>
        <w:tc>
          <w:tcPr>
            <w:tcW w:w="0" w:type="auto"/>
            <w:tcBorders>
              <w:bottom w:val="single" w:color="auto" w:sz="4" w:space="0"/>
            </w:tcBorders>
            <w:vAlign w:val="center"/>
          </w:tcPr>
          <w:p w14:paraId="3736A8DB">
            <w:pPr>
              <w:pStyle w:val="121"/>
              <w:snapToGrid w:val="0"/>
              <w:spacing w:before="11"/>
              <w:ind w:left="493"/>
              <w:jc w:val="left"/>
              <w:rPr>
                <w:rFonts w:hint="default"/>
                <w:szCs w:val="21"/>
              </w:rPr>
            </w:pPr>
            <w:r>
              <w:rPr>
                <w:rFonts w:hAnsi="宋体"/>
                <w:szCs w:val="21"/>
              </w:rPr>
              <w:t>每</w:t>
            </w:r>
            <w:r>
              <w:rPr>
                <w:rFonts w:hAnsi="宋体"/>
                <w:spacing w:val="-45"/>
                <w:szCs w:val="21"/>
              </w:rPr>
              <w:t xml:space="preserve"> </w:t>
            </w:r>
            <w:r>
              <w:rPr>
                <w:rFonts w:hAnsi="宋体"/>
                <w:szCs w:val="21"/>
              </w:rPr>
              <w:t>100</w:t>
            </w:r>
            <w:r>
              <w:rPr>
                <w:rFonts w:hAnsi="宋体"/>
                <w:spacing w:val="-46"/>
                <w:szCs w:val="21"/>
              </w:rPr>
              <w:t xml:space="preserve"> </w:t>
            </w:r>
            <w:r>
              <w:rPr>
                <w:rFonts w:hAnsi="宋体"/>
                <w:szCs w:val="21"/>
              </w:rPr>
              <w:t>克（g）</w:t>
            </w:r>
          </w:p>
        </w:tc>
        <w:tc>
          <w:tcPr>
            <w:tcW w:w="3513" w:type="dxa"/>
            <w:tcBorders>
              <w:bottom w:val="single" w:color="auto" w:sz="4" w:space="0"/>
            </w:tcBorders>
            <w:vAlign w:val="center"/>
          </w:tcPr>
          <w:p w14:paraId="46F8A9FE">
            <w:pPr>
              <w:pStyle w:val="121"/>
              <w:snapToGrid w:val="0"/>
              <w:spacing w:before="11"/>
              <w:ind w:left="750"/>
              <w:jc w:val="left"/>
              <w:rPr>
                <w:rFonts w:hint="default"/>
                <w:szCs w:val="21"/>
              </w:rPr>
            </w:pPr>
            <w:r>
              <w:rPr>
                <w:rFonts w:hAnsi="宋体"/>
                <w:szCs w:val="21"/>
              </w:rPr>
              <w:t>营养素参考值%或</w:t>
            </w:r>
            <w:r>
              <w:rPr>
                <w:rFonts w:hAnsi="宋体"/>
                <w:spacing w:val="-44"/>
                <w:szCs w:val="21"/>
              </w:rPr>
              <w:t xml:space="preserve"> </w:t>
            </w:r>
            <w:r>
              <w:rPr>
                <w:rFonts w:hAnsi="宋体"/>
                <w:szCs w:val="21"/>
              </w:rPr>
              <w:t>NRV%</w:t>
            </w:r>
          </w:p>
        </w:tc>
      </w:tr>
      <w:tr w14:paraId="093AB9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13" w:type="dxa"/>
            <w:tcBorders>
              <w:top w:val="single" w:color="auto" w:sz="4" w:space="0"/>
              <w:left w:val="single" w:color="auto" w:sz="4" w:space="0"/>
              <w:bottom w:val="nil"/>
              <w:right w:val="single" w:color="auto" w:sz="4" w:space="0"/>
            </w:tcBorders>
            <w:vAlign w:val="center"/>
          </w:tcPr>
          <w:p w14:paraId="731F5CBE">
            <w:pPr>
              <w:pStyle w:val="121"/>
              <w:snapToGrid w:val="0"/>
              <w:spacing w:before="11"/>
              <w:ind w:left="283"/>
              <w:jc w:val="left"/>
              <w:rPr>
                <w:rFonts w:hint="default"/>
                <w:szCs w:val="21"/>
              </w:rPr>
            </w:pPr>
            <w:r>
              <w:rPr>
                <w:rFonts w:hAnsi="宋体"/>
                <w:szCs w:val="21"/>
              </w:rPr>
              <w:t>能量</w:t>
            </w:r>
          </w:p>
        </w:tc>
        <w:tc>
          <w:tcPr>
            <w:tcW w:w="0" w:type="auto"/>
            <w:tcBorders>
              <w:top w:val="single" w:color="auto" w:sz="4" w:space="0"/>
              <w:left w:val="single" w:color="auto" w:sz="4" w:space="0"/>
              <w:bottom w:val="nil"/>
              <w:right w:val="single" w:color="auto" w:sz="4" w:space="0"/>
            </w:tcBorders>
            <w:vAlign w:val="center"/>
          </w:tcPr>
          <w:p w14:paraId="1535E634">
            <w:pPr>
              <w:pStyle w:val="121"/>
              <w:snapToGrid w:val="0"/>
              <w:spacing w:before="11"/>
              <w:ind w:left="630"/>
              <w:rPr>
                <w:rFonts w:hint="default"/>
                <w:szCs w:val="21"/>
              </w:rPr>
            </w:pPr>
            <w:r>
              <w:rPr>
                <w:rFonts w:hAnsi="宋体"/>
                <w:szCs w:val="21"/>
              </w:rPr>
              <w:t>千焦（kJ）</w:t>
            </w:r>
          </w:p>
        </w:tc>
        <w:tc>
          <w:tcPr>
            <w:tcW w:w="3513" w:type="dxa"/>
            <w:tcBorders>
              <w:top w:val="single" w:color="auto" w:sz="4" w:space="0"/>
              <w:left w:val="single" w:color="auto" w:sz="4" w:space="0"/>
              <w:bottom w:val="nil"/>
              <w:right w:val="single" w:color="auto" w:sz="4" w:space="0"/>
            </w:tcBorders>
            <w:vAlign w:val="center"/>
          </w:tcPr>
          <w:p w14:paraId="4FCD120F">
            <w:pPr>
              <w:pStyle w:val="121"/>
              <w:snapToGrid w:val="0"/>
              <w:spacing w:before="11"/>
              <w:ind w:right="1"/>
              <w:jc w:val="center"/>
              <w:rPr>
                <w:rFonts w:hint="default"/>
                <w:szCs w:val="21"/>
              </w:rPr>
            </w:pPr>
            <w:r>
              <w:rPr>
                <w:szCs w:val="21"/>
              </w:rPr>
              <w:t>%</w:t>
            </w:r>
          </w:p>
        </w:tc>
      </w:tr>
      <w:tr w14:paraId="17854C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13" w:type="dxa"/>
            <w:tcBorders>
              <w:top w:val="nil"/>
              <w:left w:val="single" w:color="auto" w:sz="4" w:space="0"/>
              <w:bottom w:val="nil"/>
              <w:right w:val="single" w:color="auto" w:sz="4" w:space="0"/>
            </w:tcBorders>
            <w:vAlign w:val="center"/>
          </w:tcPr>
          <w:p w14:paraId="2CFE185F">
            <w:pPr>
              <w:pStyle w:val="121"/>
              <w:snapToGrid w:val="0"/>
              <w:spacing w:before="10"/>
              <w:ind w:left="283"/>
              <w:jc w:val="left"/>
              <w:rPr>
                <w:rFonts w:hint="default"/>
                <w:szCs w:val="21"/>
              </w:rPr>
            </w:pPr>
            <w:r>
              <w:rPr>
                <w:rFonts w:hAnsi="宋体"/>
                <w:szCs w:val="21"/>
              </w:rPr>
              <w:t>蛋白质</w:t>
            </w:r>
          </w:p>
        </w:tc>
        <w:tc>
          <w:tcPr>
            <w:tcW w:w="0" w:type="auto"/>
            <w:tcBorders>
              <w:top w:val="nil"/>
              <w:left w:val="single" w:color="auto" w:sz="4" w:space="0"/>
              <w:bottom w:val="nil"/>
              <w:right w:val="single" w:color="auto" w:sz="4" w:space="0"/>
            </w:tcBorders>
            <w:vAlign w:val="center"/>
          </w:tcPr>
          <w:p w14:paraId="2AF9B8D9">
            <w:pPr>
              <w:pStyle w:val="121"/>
              <w:snapToGrid w:val="0"/>
              <w:spacing w:before="10"/>
              <w:ind w:right="1"/>
              <w:jc w:val="center"/>
              <w:rPr>
                <w:rFonts w:hint="default"/>
                <w:szCs w:val="21"/>
              </w:rPr>
            </w:pPr>
            <w:r>
              <w:rPr>
                <w:rFonts w:hAnsi="宋体"/>
                <w:szCs w:val="21"/>
              </w:rPr>
              <w:t>克（g）</w:t>
            </w:r>
          </w:p>
        </w:tc>
        <w:tc>
          <w:tcPr>
            <w:tcW w:w="3513" w:type="dxa"/>
            <w:tcBorders>
              <w:top w:val="nil"/>
              <w:left w:val="single" w:color="auto" w:sz="4" w:space="0"/>
              <w:bottom w:val="nil"/>
              <w:right w:val="single" w:color="auto" w:sz="4" w:space="0"/>
            </w:tcBorders>
            <w:vAlign w:val="center"/>
          </w:tcPr>
          <w:p w14:paraId="4935297C">
            <w:pPr>
              <w:pStyle w:val="121"/>
              <w:snapToGrid w:val="0"/>
              <w:spacing w:before="10"/>
              <w:ind w:right="1"/>
              <w:jc w:val="center"/>
              <w:rPr>
                <w:rFonts w:hint="default"/>
                <w:szCs w:val="21"/>
              </w:rPr>
            </w:pPr>
            <w:r>
              <w:rPr>
                <w:szCs w:val="21"/>
              </w:rPr>
              <w:t>%</w:t>
            </w:r>
          </w:p>
        </w:tc>
      </w:tr>
      <w:tr w14:paraId="465FE2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13" w:type="dxa"/>
            <w:tcBorders>
              <w:top w:val="nil"/>
              <w:left w:val="single" w:color="auto" w:sz="4" w:space="0"/>
              <w:bottom w:val="nil"/>
              <w:right w:val="single" w:color="auto" w:sz="4" w:space="0"/>
            </w:tcBorders>
            <w:vAlign w:val="center"/>
          </w:tcPr>
          <w:p w14:paraId="6FE4A929">
            <w:pPr>
              <w:pStyle w:val="121"/>
              <w:snapToGrid w:val="0"/>
              <w:spacing w:before="10"/>
              <w:ind w:left="283"/>
              <w:jc w:val="left"/>
              <w:rPr>
                <w:rFonts w:hint="default"/>
                <w:szCs w:val="21"/>
              </w:rPr>
            </w:pPr>
            <w:r>
              <w:rPr>
                <w:rFonts w:hAnsi="宋体"/>
                <w:szCs w:val="21"/>
              </w:rPr>
              <w:t>脂肪</w:t>
            </w:r>
          </w:p>
        </w:tc>
        <w:tc>
          <w:tcPr>
            <w:tcW w:w="0" w:type="auto"/>
            <w:tcBorders>
              <w:top w:val="nil"/>
              <w:left w:val="single" w:color="auto" w:sz="4" w:space="0"/>
              <w:bottom w:val="nil"/>
              <w:right w:val="single" w:color="auto" w:sz="4" w:space="0"/>
            </w:tcBorders>
            <w:vAlign w:val="center"/>
          </w:tcPr>
          <w:p w14:paraId="323A8946">
            <w:pPr>
              <w:pStyle w:val="121"/>
              <w:snapToGrid w:val="0"/>
              <w:spacing w:before="10"/>
              <w:ind w:right="1"/>
              <w:jc w:val="center"/>
              <w:rPr>
                <w:rFonts w:hint="default"/>
                <w:szCs w:val="21"/>
              </w:rPr>
            </w:pPr>
            <w:r>
              <w:rPr>
                <w:rFonts w:hAnsi="宋体"/>
                <w:szCs w:val="21"/>
              </w:rPr>
              <w:t>克（g）</w:t>
            </w:r>
          </w:p>
        </w:tc>
        <w:tc>
          <w:tcPr>
            <w:tcW w:w="3513" w:type="dxa"/>
            <w:tcBorders>
              <w:top w:val="nil"/>
              <w:left w:val="single" w:color="auto" w:sz="4" w:space="0"/>
              <w:bottom w:val="nil"/>
              <w:right w:val="single" w:color="auto" w:sz="4" w:space="0"/>
            </w:tcBorders>
            <w:vAlign w:val="center"/>
          </w:tcPr>
          <w:p w14:paraId="0AB1142E">
            <w:pPr>
              <w:pStyle w:val="121"/>
              <w:snapToGrid w:val="0"/>
              <w:spacing w:before="10"/>
              <w:ind w:right="1"/>
              <w:jc w:val="center"/>
              <w:rPr>
                <w:rFonts w:hint="default"/>
                <w:szCs w:val="21"/>
              </w:rPr>
            </w:pPr>
            <w:r>
              <w:rPr>
                <w:szCs w:val="21"/>
              </w:rPr>
              <w:t>%</w:t>
            </w:r>
          </w:p>
        </w:tc>
      </w:tr>
      <w:tr w14:paraId="04D792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13" w:type="dxa"/>
            <w:tcBorders>
              <w:top w:val="nil"/>
              <w:left w:val="single" w:color="auto" w:sz="4" w:space="0"/>
              <w:bottom w:val="nil"/>
              <w:right w:val="single" w:color="auto" w:sz="4" w:space="0"/>
            </w:tcBorders>
            <w:vAlign w:val="center"/>
          </w:tcPr>
          <w:p w14:paraId="678903DB">
            <w:pPr>
              <w:pStyle w:val="121"/>
              <w:snapToGrid w:val="0"/>
              <w:spacing w:before="10"/>
              <w:ind w:left="283"/>
              <w:jc w:val="left"/>
              <w:rPr>
                <w:rFonts w:hint="default"/>
                <w:szCs w:val="21"/>
              </w:rPr>
            </w:pPr>
            <w:r>
              <w:rPr>
                <w:rFonts w:hAnsi="宋体"/>
                <w:szCs w:val="21"/>
              </w:rPr>
              <w:t>碳水化合物</w:t>
            </w:r>
          </w:p>
        </w:tc>
        <w:tc>
          <w:tcPr>
            <w:tcW w:w="0" w:type="auto"/>
            <w:tcBorders>
              <w:top w:val="nil"/>
              <w:left w:val="single" w:color="auto" w:sz="4" w:space="0"/>
              <w:bottom w:val="nil"/>
              <w:right w:val="single" w:color="auto" w:sz="4" w:space="0"/>
            </w:tcBorders>
            <w:vAlign w:val="center"/>
          </w:tcPr>
          <w:p w14:paraId="0E65DB0D">
            <w:pPr>
              <w:pStyle w:val="121"/>
              <w:snapToGrid w:val="0"/>
              <w:spacing w:before="10"/>
              <w:ind w:right="1"/>
              <w:jc w:val="center"/>
              <w:rPr>
                <w:rFonts w:hint="default"/>
                <w:szCs w:val="21"/>
              </w:rPr>
            </w:pPr>
            <w:r>
              <w:rPr>
                <w:rFonts w:hAnsi="宋体"/>
                <w:szCs w:val="21"/>
              </w:rPr>
              <w:t>克（g）</w:t>
            </w:r>
          </w:p>
        </w:tc>
        <w:tc>
          <w:tcPr>
            <w:tcW w:w="3513" w:type="dxa"/>
            <w:tcBorders>
              <w:top w:val="nil"/>
              <w:left w:val="single" w:color="auto" w:sz="4" w:space="0"/>
              <w:bottom w:val="nil"/>
              <w:right w:val="single" w:color="auto" w:sz="4" w:space="0"/>
            </w:tcBorders>
            <w:vAlign w:val="center"/>
          </w:tcPr>
          <w:p w14:paraId="74914A2D">
            <w:pPr>
              <w:pStyle w:val="121"/>
              <w:snapToGrid w:val="0"/>
              <w:spacing w:before="10"/>
              <w:ind w:right="1"/>
              <w:jc w:val="center"/>
              <w:rPr>
                <w:rFonts w:hint="default"/>
                <w:szCs w:val="21"/>
              </w:rPr>
            </w:pPr>
            <w:r>
              <w:rPr>
                <w:szCs w:val="21"/>
              </w:rPr>
              <w:t>%</w:t>
            </w:r>
          </w:p>
        </w:tc>
      </w:tr>
      <w:tr w14:paraId="3CF777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13" w:type="dxa"/>
            <w:tcBorders>
              <w:top w:val="nil"/>
              <w:left w:val="single" w:color="auto" w:sz="4" w:space="0"/>
              <w:bottom w:val="nil"/>
              <w:right w:val="single" w:color="auto" w:sz="4" w:space="0"/>
            </w:tcBorders>
            <w:vAlign w:val="center"/>
          </w:tcPr>
          <w:p w14:paraId="5D2ECA73">
            <w:pPr>
              <w:pStyle w:val="121"/>
              <w:snapToGrid w:val="0"/>
              <w:spacing w:before="10"/>
              <w:ind w:left="283"/>
              <w:jc w:val="left"/>
              <w:rPr>
                <w:rFonts w:hint="default"/>
                <w:szCs w:val="21"/>
              </w:rPr>
            </w:pPr>
            <w:r>
              <w:rPr>
                <w:rFonts w:hAnsi="宋体"/>
                <w:szCs w:val="21"/>
              </w:rPr>
              <w:t>钠</w:t>
            </w:r>
          </w:p>
        </w:tc>
        <w:tc>
          <w:tcPr>
            <w:tcW w:w="0" w:type="auto"/>
            <w:tcBorders>
              <w:top w:val="nil"/>
              <w:left w:val="single" w:color="auto" w:sz="4" w:space="0"/>
              <w:bottom w:val="nil"/>
              <w:right w:val="single" w:color="auto" w:sz="4" w:space="0"/>
            </w:tcBorders>
            <w:vAlign w:val="center"/>
          </w:tcPr>
          <w:p w14:paraId="6719961C">
            <w:pPr>
              <w:pStyle w:val="121"/>
              <w:snapToGrid w:val="0"/>
              <w:spacing w:before="10"/>
              <w:ind w:left="630"/>
              <w:rPr>
                <w:rFonts w:hint="default"/>
                <w:szCs w:val="21"/>
              </w:rPr>
            </w:pPr>
            <w:r>
              <w:rPr>
                <w:rFonts w:hAnsi="宋体"/>
                <w:szCs w:val="21"/>
              </w:rPr>
              <w:t>毫克（mg）</w:t>
            </w:r>
          </w:p>
        </w:tc>
        <w:tc>
          <w:tcPr>
            <w:tcW w:w="3513" w:type="dxa"/>
            <w:tcBorders>
              <w:top w:val="nil"/>
              <w:left w:val="single" w:color="auto" w:sz="4" w:space="0"/>
              <w:bottom w:val="nil"/>
              <w:right w:val="single" w:color="auto" w:sz="4" w:space="0"/>
            </w:tcBorders>
            <w:vAlign w:val="center"/>
          </w:tcPr>
          <w:p w14:paraId="5BA0A56F">
            <w:pPr>
              <w:pStyle w:val="121"/>
              <w:snapToGrid w:val="0"/>
              <w:spacing w:before="10"/>
              <w:ind w:right="1"/>
              <w:jc w:val="center"/>
              <w:rPr>
                <w:rFonts w:hint="default"/>
                <w:szCs w:val="21"/>
              </w:rPr>
            </w:pPr>
            <w:r>
              <w:rPr>
                <w:szCs w:val="21"/>
              </w:rPr>
              <w:t>%</w:t>
            </w:r>
          </w:p>
        </w:tc>
      </w:tr>
      <w:tr w14:paraId="299955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13" w:type="dxa"/>
            <w:tcBorders>
              <w:top w:val="nil"/>
              <w:left w:val="single" w:color="auto" w:sz="4" w:space="0"/>
              <w:bottom w:val="nil"/>
              <w:right w:val="single" w:color="auto" w:sz="4" w:space="0"/>
            </w:tcBorders>
            <w:vAlign w:val="center"/>
          </w:tcPr>
          <w:p w14:paraId="7CAD8435">
            <w:pPr>
              <w:pStyle w:val="121"/>
              <w:snapToGrid w:val="0"/>
              <w:spacing w:before="10"/>
              <w:ind w:left="283"/>
              <w:jc w:val="left"/>
              <w:rPr>
                <w:rFonts w:hint="default"/>
                <w:szCs w:val="21"/>
              </w:rPr>
            </w:pPr>
            <w:r>
              <w:rPr>
                <w:rFonts w:hAnsi="宋体"/>
                <w:szCs w:val="21"/>
              </w:rPr>
              <w:t>铁</w:t>
            </w:r>
          </w:p>
        </w:tc>
        <w:tc>
          <w:tcPr>
            <w:tcW w:w="0" w:type="auto"/>
            <w:tcBorders>
              <w:top w:val="nil"/>
              <w:left w:val="single" w:color="auto" w:sz="4" w:space="0"/>
              <w:bottom w:val="nil"/>
              <w:right w:val="single" w:color="auto" w:sz="4" w:space="0"/>
            </w:tcBorders>
            <w:vAlign w:val="center"/>
          </w:tcPr>
          <w:p w14:paraId="27B5EFE0">
            <w:pPr>
              <w:pStyle w:val="121"/>
              <w:snapToGrid w:val="0"/>
              <w:spacing w:before="10"/>
              <w:ind w:left="630"/>
              <w:jc w:val="left"/>
              <w:rPr>
                <w:rFonts w:hint="default"/>
                <w:szCs w:val="21"/>
              </w:rPr>
            </w:pPr>
            <w:r>
              <w:rPr>
                <w:rFonts w:hAnsi="宋体"/>
                <w:szCs w:val="21"/>
              </w:rPr>
              <w:t>毫克（mg）</w:t>
            </w:r>
          </w:p>
        </w:tc>
        <w:tc>
          <w:tcPr>
            <w:tcW w:w="3513" w:type="dxa"/>
            <w:tcBorders>
              <w:top w:val="nil"/>
              <w:left w:val="single" w:color="auto" w:sz="4" w:space="0"/>
              <w:bottom w:val="nil"/>
              <w:right w:val="single" w:color="auto" w:sz="4" w:space="0"/>
            </w:tcBorders>
            <w:vAlign w:val="center"/>
          </w:tcPr>
          <w:p w14:paraId="09C0195A">
            <w:pPr>
              <w:pStyle w:val="121"/>
              <w:snapToGrid w:val="0"/>
              <w:spacing w:before="11"/>
              <w:ind w:left="750"/>
              <w:jc w:val="left"/>
              <w:rPr>
                <w:rFonts w:hint="default"/>
                <w:szCs w:val="21"/>
              </w:rPr>
            </w:pPr>
          </w:p>
        </w:tc>
      </w:tr>
      <w:tr w14:paraId="2DDF5B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13" w:type="dxa"/>
            <w:tcBorders>
              <w:top w:val="nil"/>
              <w:left w:val="single" w:color="auto" w:sz="4" w:space="0"/>
              <w:bottom w:val="nil"/>
              <w:right w:val="single" w:color="auto" w:sz="4" w:space="0"/>
            </w:tcBorders>
            <w:vAlign w:val="center"/>
          </w:tcPr>
          <w:p w14:paraId="7A697ED9">
            <w:pPr>
              <w:pStyle w:val="121"/>
              <w:snapToGrid w:val="0"/>
              <w:spacing w:before="10"/>
              <w:ind w:left="283"/>
              <w:jc w:val="left"/>
              <w:rPr>
                <w:rFonts w:hint="default"/>
                <w:szCs w:val="21"/>
              </w:rPr>
            </w:pPr>
            <w:r>
              <w:rPr>
                <w:rFonts w:hAnsi="宋体"/>
                <w:szCs w:val="21"/>
              </w:rPr>
              <w:t>维生素</w:t>
            </w:r>
            <w:r>
              <w:rPr>
                <w:rFonts w:hAnsi="宋体"/>
                <w:spacing w:val="-46"/>
                <w:szCs w:val="21"/>
              </w:rPr>
              <w:t xml:space="preserve"> </w:t>
            </w:r>
            <w:r>
              <w:rPr>
                <w:rFonts w:hAnsi="宋体"/>
                <w:szCs w:val="21"/>
              </w:rPr>
              <w:t>B1</w:t>
            </w:r>
          </w:p>
        </w:tc>
        <w:tc>
          <w:tcPr>
            <w:tcW w:w="0" w:type="auto"/>
            <w:tcBorders>
              <w:top w:val="nil"/>
              <w:left w:val="single" w:color="auto" w:sz="4" w:space="0"/>
              <w:bottom w:val="nil"/>
              <w:right w:val="single" w:color="auto" w:sz="4" w:space="0"/>
            </w:tcBorders>
            <w:vAlign w:val="center"/>
          </w:tcPr>
          <w:p w14:paraId="3C3446EA">
            <w:pPr>
              <w:pStyle w:val="121"/>
              <w:snapToGrid w:val="0"/>
              <w:spacing w:before="10"/>
              <w:ind w:left="630"/>
              <w:jc w:val="left"/>
              <w:rPr>
                <w:rFonts w:hint="default"/>
                <w:szCs w:val="21"/>
              </w:rPr>
            </w:pPr>
            <w:r>
              <w:rPr>
                <w:rFonts w:hAnsi="宋体"/>
                <w:szCs w:val="21"/>
              </w:rPr>
              <w:t>毫克（mg）</w:t>
            </w:r>
          </w:p>
        </w:tc>
        <w:tc>
          <w:tcPr>
            <w:tcW w:w="3513" w:type="dxa"/>
            <w:tcBorders>
              <w:top w:val="nil"/>
              <w:left w:val="single" w:color="auto" w:sz="4" w:space="0"/>
              <w:bottom w:val="nil"/>
              <w:right w:val="single" w:color="auto" w:sz="4" w:space="0"/>
            </w:tcBorders>
            <w:vAlign w:val="center"/>
          </w:tcPr>
          <w:p w14:paraId="3C91510E">
            <w:pPr>
              <w:pStyle w:val="121"/>
              <w:snapToGrid w:val="0"/>
              <w:spacing w:before="11"/>
              <w:ind w:right="1"/>
              <w:jc w:val="left"/>
              <w:rPr>
                <w:rFonts w:hint="default"/>
                <w:szCs w:val="21"/>
              </w:rPr>
            </w:pPr>
          </w:p>
        </w:tc>
      </w:tr>
      <w:tr w14:paraId="401D63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13" w:type="dxa"/>
            <w:tcBorders>
              <w:top w:val="nil"/>
              <w:left w:val="single" w:color="auto" w:sz="4" w:space="0"/>
              <w:bottom w:val="single" w:color="auto" w:sz="4" w:space="0"/>
              <w:right w:val="single" w:color="auto" w:sz="4" w:space="0"/>
            </w:tcBorders>
            <w:vAlign w:val="center"/>
          </w:tcPr>
          <w:p w14:paraId="6CD77F9F">
            <w:pPr>
              <w:pStyle w:val="121"/>
              <w:snapToGrid w:val="0"/>
              <w:spacing w:before="10"/>
              <w:ind w:left="283"/>
              <w:jc w:val="left"/>
              <w:rPr>
                <w:rFonts w:hint="default"/>
                <w:szCs w:val="21"/>
              </w:rPr>
            </w:pPr>
            <w:r>
              <w:rPr>
                <w:rFonts w:hAnsi="宋体"/>
                <w:szCs w:val="21"/>
              </w:rPr>
              <w:t>……</w:t>
            </w:r>
          </w:p>
        </w:tc>
        <w:tc>
          <w:tcPr>
            <w:tcW w:w="2340" w:type="dxa"/>
            <w:tcBorders>
              <w:top w:val="nil"/>
              <w:left w:val="single" w:color="auto" w:sz="4" w:space="0"/>
              <w:bottom w:val="single" w:color="auto" w:sz="4" w:space="0"/>
              <w:right w:val="single" w:color="auto" w:sz="4" w:space="0"/>
            </w:tcBorders>
            <w:vAlign w:val="center"/>
          </w:tcPr>
          <w:p w14:paraId="2247EAC1">
            <w:pPr>
              <w:pStyle w:val="121"/>
              <w:snapToGrid w:val="0"/>
              <w:spacing w:before="11"/>
              <w:ind w:left="493"/>
              <w:jc w:val="left"/>
              <w:rPr>
                <w:rFonts w:hint="default"/>
                <w:szCs w:val="21"/>
              </w:rPr>
            </w:pPr>
          </w:p>
        </w:tc>
        <w:tc>
          <w:tcPr>
            <w:tcW w:w="3513" w:type="dxa"/>
            <w:tcBorders>
              <w:top w:val="nil"/>
              <w:left w:val="single" w:color="auto" w:sz="4" w:space="0"/>
              <w:bottom w:val="single" w:color="auto" w:sz="4" w:space="0"/>
              <w:right w:val="single" w:color="auto" w:sz="4" w:space="0"/>
            </w:tcBorders>
            <w:vAlign w:val="center"/>
          </w:tcPr>
          <w:p w14:paraId="3C05A87C">
            <w:pPr>
              <w:pStyle w:val="121"/>
              <w:snapToGrid w:val="0"/>
              <w:spacing w:before="10"/>
              <w:ind w:right="1"/>
              <w:jc w:val="left"/>
              <w:rPr>
                <w:rFonts w:hint="default"/>
                <w:szCs w:val="21"/>
              </w:rPr>
            </w:pPr>
          </w:p>
        </w:tc>
      </w:tr>
      <w:tr w14:paraId="5B692E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66" w:type="dxa"/>
            <w:gridSpan w:val="3"/>
            <w:tcBorders>
              <w:top w:val="single" w:color="auto" w:sz="4" w:space="0"/>
              <w:left w:val="single" w:color="auto" w:sz="4" w:space="0"/>
              <w:bottom w:val="single" w:color="auto" w:sz="4" w:space="0"/>
              <w:right w:val="single" w:color="auto" w:sz="4" w:space="0"/>
            </w:tcBorders>
            <w:vAlign w:val="center"/>
          </w:tcPr>
          <w:p w14:paraId="4283F560">
            <w:pPr>
              <w:pStyle w:val="106"/>
              <w:widowControl w:val="0"/>
            </w:pPr>
            <w:r>
              <w:t>企业可自愿标注营养成分的含量。</w:t>
            </w:r>
          </w:p>
        </w:tc>
      </w:tr>
    </w:tbl>
    <w:p w14:paraId="6D1E61EC">
      <w:pPr>
        <w:pStyle w:val="25"/>
        <w:ind w:firstLine="420"/>
        <w:rPr>
          <w:rFonts w:hint="default"/>
        </w:rPr>
      </w:pPr>
    </w:p>
    <w:sectPr>
      <w:pgSz w:w="11906" w:h="16838"/>
      <w:pgMar w:top="2410" w:right="1134" w:bottom="1134" w:left="1134" w:header="1418" w:footer="1134" w:gutter="284"/>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04712">
    <w:pPr>
      <w:pStyle w:val="31"/>
      <w:rPr>
        <w:rFonts w:hint="default"/>
      </w:rPr>
    </w:pPr>
    <w:r>
      <w:fldChar w:fldCharType="begin"/>
    </w:r>
    <w:r>
      <w:instrText xml:space="preserve"> PAGE  \* MERGEFORMAT </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5051B">
    <w:pPr>
      <w:pStyle w:val="32"/>
      <w:rPr>
        <w:rFonts w:hint="default"/>
      </w:rPr>
    </w:pPr>
    <w:r>
      <w:t>T/LNSLX XXX—2026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16C9FF"/>
    <w:multiLevelType w:val="multilevel"/>
    <w:tmpl w:val="8616C9FF"/>
    <w:lvl w:ilvl="0" w:tentative="0">
      <w:start w:val="1"/>
      <w:numFmt w:val="decimal"/>
      <w:pStyle w:val="113"/>
      <w:suff w:val="nothing"/>
      <w:lvlText w:val="表%1  "/>
      <w:lvlJc w:val="left"/>
      <w:pPr>
        <w:tabs>
          <w:tab w:val="left" w:pos="539"/>
        </w:tabs>
        <w:ind w:left="0" w:firstLine="0"/>
      </w:pPr>
      <w:rPr>
        <w:rFonts w:hint="eastAsia" w:ascii="黑体" w:hAnsi="黑体" w:eastAsia="黑体" w:cs="黑体"/>
        <w:sz w:val="21"/>
        <w:vertAlign w:val="baseline"/>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97818416"/>
    <w:multiLevelType w:val="multilevel"/>
    <w:tmpl w:val="97818416"/>
    <w:lvl w:ilvl="0" w:tentative="0">
      <w:start w:val="1"/>
      <w:numFmt w:val="none"/>
      <w:pStyle w:val="104"/>
      <w:suff w:val="nothing"/>
      <w:lvlText w:val="示例："/>
      <w:lvlJc w:val="left"/>
      <w:pPr>
        <w:ind w:left="0" w:firstLine="363"/>
      </w:pPr>
      <w:rPr>
        <w:rFonts w:hint="eastAsia" w:ascii="黑体" w:hAnsi="黑体" w:eastAsia="黑体" w:cs="黑体"/>
        <w:sz w:val="18"/>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9985E825"/>
    <w:multiLevelType w:val="multilevel"/>
    <w:tmpl w:val="9985E825"/>
    <w:lvl w:ilvl="0" w:tentative="0">
      <w:start w:val="1"/>
      <w:numFmt w:val="decimal"/>
      <w:pStyle w:val="18"/>
      <w:lvlText w:val="%1)"/>
      <w:lvlJc w:val="left"/>
      <w:pPr>
        <w:tabs>
          <w:tab w:val="left" w:pos="0"/>
        </w:tabs>
        <w:ind w:left="720" w:hanging="357"/>
      </w:pPr>
      <w:rPr>
        <w:rFonts w:hint="eastAsia" w:ascii="宋体" w:hAnsi="宋体" w:eastAsia="宋体" w:cs="宋体"/>
        <w:sz w:val="15"/>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3">
    <w:nsid w:val="9F3DCBCF"/>
    <w:multiLevelType w:val="multilevel"/>
    <w:tmpl w:val="9F3DCBCF"/>
    <w:lvl w:ilvl="0" w:tentative="0">
      <w:start w:val="1"/>
      <w:numFmt w:val="decimal"/>
      <w:pStyle w:val="114"/>
      <w:suff w:val="nothing"/>
      <w:lvlText w:val="图%1  "/>
      <w:lvlJc w:val="left"/>
      <w:pPr>
        <w:tabs>
          <w:tab w:val="left" w:pos="539"/>
        </w:tabs>
        <w:ind w:left="0" w:firstLine="0"/>
      </w:pPr>
      <w:rPr>
        <w:rFonts w:hint="eastAsia" w:ascii="黑体" w:hAnsi="黑体" w:eastAsia="黑体" w:cs="黑体"/>
        <w:sz w:val="21"/>
        <w:vertAlign w:val="baseline"/>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4">
    <w:nsid w:val="B8B1F298"/>
    <w:multiLevelType w:val="multilevel"/>
    <w:tmpl w:val="B8B1F298"/>
    <w:lvl w:ilvl="0" w:tentative="0">
      <w:start w:val="1"/>
      <w:numFmt w:val="decimal"/>
      <w:pStyle w:val="72"/>
      <w:suff w:val="nothing"/>
      <w:lvlText w:val="%1　"/>
      <w:lvlJc w:val="left"/>
      <w:pPr>
        <w:ind w:left="0" w:firstLine="0"/>
      </w:pPr>
      <w:rPr>
        <w:rFonts w:hint="default" w:ascii="黑体" w:hAnsi="黑体" w:eastAsia="黑体" w:cs="黑体"/>
        <w:sz w:val="20"/>
      </w:rPr>
    </w:lvl>
    <w:lvl w:ilvl="1" w:tentative="0">
      <w:start w:val="1"/>
      <w:numFmt w:val="decimal"/>
      <w:pStyle w:val="73"/>
      <w:suff w:val="nothing"/>
      <w:lvlText w:val="%1.%2　"/>
      <w:lvlJc w:val="left"/>
      <w:pPr>
        <w:ind w:left="0" w:firstLine="0"/>
      </w:pPr>
      <w:rPr>
        <w:rFonts w:hint="default" w:ascii="黑体" w:hAnsi="黑体" w:eastAsia="黑体" w:cs="黑体"/>
        <w:sz w:val="20"/>
      </w:rPr>
    </w:lvl>
    <w:lvl w:ilvl="2" w:tentative="0">
      <w:start w:val="1"/>
      <w:numFmt w:val="decimal"/>
      <w:pStyle w:val="74"/>
      <w:suff w:val="nothing"/>
      <w:lvlText w:val="%1.%2.%3　"/>
      <w:lvlJc w:val="left"/>
      <w:pPr>
        <w:ind w:left="0" w:firstLine="0"/>
      </w:pPr>
      <w:rPr>
        <w:rFonts w:hint="default" w:ascii="黑体" w:hAnsi="黑体" w:eastAsia="黑体" w:cs="黑体"/>
        <w:sz w:val="20"/>
      </w:rPr>
    </w:lvl>
    <w:lvl w:ilvl="3" w:tentative="0">
      <w:start w:val="1"/>
      <w:numFmt w:val="decimal"/>
      <w:pStyle w:val="75"/>
      <w:suff w:val="nothing"/>
      <w:lvlText w:val="%1.%2.%3.%4　"/>
      <w:lvlJc w:val="left"/>
      <w:pPr>
        <w:ind w:left="0" w:firstLine="0"/>
      </w:pPr>
      <w:rPr>
        <w:rFonts w:hint="default" w:ascii="黑体" w:hAnsi="黑体" w:eastAsia="黑体" w:cs="黑体"/>
        <w:sz w:val="20"/>
      </w:rPr>
    </w:lvl>
    <w:lvl w:ilvl="4" w:tentative="0">
      <w:start w:val="1"/>
      <w:numFmt w:val="decimal"/>
      <w:pStyle w:val="76"/>
      <w:suff w:val="nothing"/>
      <w:lvlText w:val="%1.%2.%3.%4.%5　"/>
      <w:lvlJc w:val="left"/>
      <w:pPr>
        <w:ind w:left="0" w:firstLine="0"/>
      </w:pPr>
      <w:rPr>
        <w:rFonts w:hint="default" w:ascii="黑体" w:hAnsi="黑体" w:eastAsia="黑体" w:cs="黑体"/>
        <w:sz w:val="20"/>
      </w:rPr>
    </w:lvl>
    <w:lvl w:ilvl="5" w:tentative="0">
      <w:start w:val="1"/>
      <w:numFmt w:val="decimal"/>
      <w:pStyle w:val="77"/>
      <w:suff w:val="nothing"/>
      <w:lvlText w:val="%1.%2.%3.%4.%5.%6　"/>
      <w:lvlJc w:val="left"/>
      <w:pPr>
        <w:ind w:left="0" w:firstLine="0"/>
      </w:pPr>
      <w:rPr>
        <w:rFonts w:hint="default" w:ascii="黑体" w:hAnsi="黑体" w:eastAsia="黑体" w:cs="黑体"/>
        <w:sz w:val="20"/>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5">
    <w:nsid w:val="CAB286BE"/>
    <w:multiLevelType w:val="multilevel"/>
    <w:tmpl w:val="CAB286BE"/>
    <w:lvl w:ilvl="0" w:tentative="0">
      <w:start w:val="1"/>
      <w:numFmt w:val="upperLetter"/>
      <w:lvlText w:val="%1"/>
      <w:lvlJc w:val="left"/>
      <w:pPr>
        <w:tabs>
          <w:tab w:val="left" w:pos="0"/>
        </w:tabs>
        <w:ind w:left="0" w:firstLine="0"/>
      </w:pPr>
      <w:rPr>
        <w:rFonts w:hint="default"/>
      </w:rPr>
    </w:lvl>
    <w:lvl w:ilvl="1" w:tentative="0">
      <w:start w:val="1"/>
      <w:numFmt w:val="decimal"/>
      <w:pStyle w:val="3"/>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6">
    <w:nsid w:val="CB2C37F9"/>
    <w:multiLevelType w:val="multilevel"/>
    <w:tmpl w:val="CB2C37F9"/>
    <w:lvl w:ilvl="0" w:tentative="0">
      <w:start w:val="1"/>
      <w:numFmt w:val="none"/>
      <w:pStyle w:val="57"/>
      <w:lvlText w:val="%1——"/>
      <w:lvlJc w:val="left"/>
      <w:pPr>
        <w:tabs>
          <w:tab w:val="left" w:pos="851"/>
        </w:tabs>
        <w:ind w:left="851" w:hanging="426"/>
      </w:pPr>
      <w:rPr>
        <w:rFonts w:hint="default" w:ascii="Times New Roman" w:hAnsi="Times New Roman" w:cs="Times New Roman"/>
        <w:sz w:val="20"/>
      </w:rPr>
    </w:lvl>
    <w:lvl w:ilvl="1" w:tentative="0">
      <w:start w:val="1"/>
      <w:numFmt w:val="bullet"/>
      <w:pStyle w:val="58"/>
      <w:lvlText w:val=""/>
      <w:lvlJc w:val="left"/>
      <w:pPr>
        <w:tabs>
          <w:tab w:val="left" w:pos="851"/>
        </w:tabs>
        <w:ind w:left="1270" w:hanging="419"/>
      </w:pPr>
      <w:rPr>
        <w:rFonts w:hint="default" w:ascii="Symbol" w:hAnsi="Symbol" w:cs="Symbol"/>
      </w:rPr>
    </w:lvl>
    <w:lvl w:ilvl="2" w:tentative="0">
      <w:start w:val="1"/>
      <w:numFmt w:val="bullet"/>
      <w:lvlText w:val=""/>
      <w:lvlJc w:val="left"/>
      <w:pPr>
        <w:tabs>
          <w:tab w:val="left" w:pos="1678"/>
        </w:tabs>
        <w:ind w:left="1678" w:hanging="414"/>
      </w:pPr>
      <w:rPr>
        <w:rFonts w:hint="default" w:ascii="Symbol" w:hAnsi="Symbol" w:cs="Symbol"/>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upp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7">
    <w:nsid w:val="DD658A4F"/>
    <w:multiLevelType w:val="multilevel"/>
    <w:tmpl w:val="DD658A4F"/>
    <w:lvl w:ilvl="0" w:tentative="0">
      <w:start w:val="1"/>
      <w:numFmt w:val="lowerLetter"/>
      <w:pStyle w:val="108"/>
      <w:lvlText w:val="%1"/>
      <w:lvlJc w:val="left"/>
      <w:pPr>
        <w:tabs>
          <w:tab w:val="left" w:pos="539"/>
        </w:tabs>
        <w:ind w:left="539" w:hanging="119"/>
      </w:pPr>
      <w:rPr>
        <w:rFonts w:hint="eastAsia" w:ascii="宋体" w:hAnsi="宋体" w:eastAsia="宋体" w:cs="宋体"/>
        <w:sz w:val="15"/>
        <w:vertAlign w:val="superscript"/>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8">
    <w:nsid w:val="0D03E19C"/>
    <w:multiLevelType w:val="multilevel"/>
    <w:tmpl w:val="0D03E19C"/>
    <w:lvl w:ilvl="0" w:tentative="0">
      <w:start w:val="1"/>
      <w:numFmt w:val="upperLetter"/>
      <w:pStyle w:val="99"/>
      <w:lvlText w:val="%1"/>
      <w:lvlJc w:val="left"/>
      <w:pPr>
        <w:tabs>
          <w:tab w:val="left" w:pos="0"/>
        </w:tabs>
        <w:ind w:left="0" w:firstLine="0"/>
      </w:pPr>
      <w:rPr>
        <w:rFonts w:hint="default"/>
      </w:rPr>
    </w:lvl>
    <w:lvl w:ilvl="1" w:tentative="0">
      <w:start w:val="1"/>
      <w:numFmt w:val="decimal"/>
      <w:pStyle w:val="100"/>
      <w:suff w:val="nothing"/>
      <w:lvlText w:val="图%1.%2　"/>
      <w:lvlJc w:val="left"/>
      <w:pPr>
        <w:ind w:left="0" w:firstLine="0"/>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9">
    <w:nsid w:val="21751D12"/>
    <w:multiLevelType w:val="multilevel"/>
    <w:tmpl w:val="21751D12"/>
    <w:lvl w:ilvl="0" w:tentative="0">
      <w:start w:val="1"/>
      <w:numFmt w:val="decimal"/>
      <w:pStyle w:val="107"/>
      <w:suff w:val="nothing"/>
      <w:lvlText w:val="注%1："/>
      <w:lvlJc w:val="left"/>
      <w:pPr>
        <w:ind w:left="811" w:hanging="448"/>
      </w:pPr>
      <w:rPr>
        <w:rFonts w:hint="eastAsia" w:ascii="黑体" w:hAnsi="黑体" w:eastAsia="黑体" w:cs="黑体"/>
        <w:sz w:val="18"/>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0">
    <w:nsid w:val="3748F1D6"/>
    <w:multiLevelType w:val="multilevel"/>
    <w:tmpl w:val="3748F1D6"/>
    <w:lvl w:ilvl="0" w:tentative="0">
      <w:start w:val="1"/>
      <w:numFmt w:val="decimal"/>
      <w:pStyle w:val="105"/>
      <w:suff w:val="nothing"/>
      <w:lvlText w:val="示例%1："/>
      <w:lvlJc w:val="left"/>
      <w:pPr>
        <w:ind w:left="0" w:firstLine="363"/>
      </w:pPr>
      <w:rPr>
        <w:rFonts w:hint="eastAsia" w:ascii="黑体" w:hAnsi="黑体" w:eastAsia="黑体" w:cs="黑体"/>
        <w:sz w:val="18"/>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1">
    <w:nsid w:val="3C897B3B"/>
    <w:multiLevelType w:val="multilevel"/>
    <w:tmpl w:val="3C897B3B"/>
    <w:lvl w:ilvl="0" w:tentative="0">
      <w:start w:val="1"/>
      <w:numFmt w:val="none"/>
      <w:pStyle w:val="106"/>
      <w:suff w:val="nothing"/>
      <w:lvlText w:val="注："/>
      <w:lvlJc w:val="left"/>
      <w:pPr>
        <w:ind w:left="737" w:hanging="374"/>
      </w:pPr>
      <w:rPr>
        <w:rFonts w:hint="eastAsia" w:ascii="黑体" w:hAnsi="黑体" w:eastAsia="黑体" w:cs="黑体"/>
        <w:sz w:val="18"/>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2">
    <w:nsid w:val="5103C208"/>
    <w:multiLevelType w:val="multilevel"/>
    <w:tmpl w:val="5103C208"/>
    <w:lvl w:ilvl="0" w:tentative="0">
      <w:start w:val="1"/>
      <w:numFmt w:val="decimal"/>
      <w:pStyle w:val="119"/>
      <w:suff w:val="nothing"/>
      <w:lvlText w:val="[%1]  "/>
      <w:lvlJc w:val="left"/>
      <w:pPr>
        <w:ind w:left="0" w:firstLine="363"/>
      </w:pPr>
      <w:rPr>
        <w:rFonts w:hint="eastAsia" w:ascii="黑体" w:hAnsi="黑体" w:eastAsia="黑体" w:cs="黑体"/>
        <w:sz w:val="18"/>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13">
    <w:nsid w:val="54822908"/>
    <w:multiLevelType w:val="multilevel"/>
    <w:tmpl w:val="54822908"/>
    <w:lvl w:ilvl="0" w:tentative="0">
      <w:start w:val="1"/>
      <w:numFmt w:val="lowerLetter"/>
      <w:pStyle w:val="60"/>
      <w:lvlText w:val="%1)"/>
      <w:lvlJc w:val="left"/>
      <w:pPr>
        <w:tabs>
          <w:tab w:val="left" w:pos="851"/>
        </w:tabs>
        <w:ind w:left="851" w:hanging="426"/>
      </w:pPr>
      <w:rPr>
        <w:rFonts w:hint="default" w:ascii="宋体" w:hAnsi="宋体" w:eastAsia="宋体" w:cs="宋体"/>
        <w:sz w:val="20"/>
      </w:rPr>
    </w:lvl>
    <w:lvl w:ilvl="1" w:tentative="0">
      <w:start w:val="1"/>
      <w:numFmt w:val="decimal"/>
      <w:pStyle w:val="61"/>
      <w:lvlText w:val="%2)"/>
      <w:lvlJc w:val="left"/>
      <w:pPr>
        <w:tabs>
          <w:tab w:val="left" w:pos="1276"/>
        </w:tabs>
        <w:ind w:left="1276" w:hanging="425"/>
      </w:pPr>
      <w:rPr>
        <w:rFonts w:hint="default" w:ascii="宋体" w:hAnsi="Times New Roman" w:eastAsia="宋体" w:cs="Times New Roman"/>
        <w:sz w:val="21"/>
      </w:rPr>
    </w:lvl>
    <w:lvl w:ilvl="2" w:tentative="0">
      <w:start w:val="1"/>
      <w:numFmt w:val="bullet"/>
      <w:pStyle w:val="59"/>
      <w:lvlText w:val=""/>
      <w:lvlJc w:val="left"/>
      <w:pPr>
        <w:tabs>
          <w:tab w:val="left" w:pos="1678"/>
        </w:tabs>
        <w:ind w:left="1678" w:hanging="414"/>
      </w:pPr>
      <w:rPr>
        <w:rFonts w:hint="default" w:ascii="Symbol" w:hAnsi="Symbol" w:cs="Symbol"/>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upp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4">
    <w:nsid w:val="660398F2"/>
    <w:multiLevelType w:val="multilevel"/>
    <w:tmpl w:val="660398F2"/>
    <w:lvl w:ilvl="0" w:tentative="0">
      <w:start w:val="1"/>
      <w:numFmt w:val="upperLetter"/>
      <w:pStyle w:val="101"/>
      <w:lvlText w:val="%1"/>
      <w:lvlJc w:val="left"/>
      <w:pPr>
        <w:tabs>
          <w:tab w:val="left" w:pos="0"/>
        </w:tabs>
        <w:ind w:left="0" w:firstLine="0"/>
      </w:pPr>
      <w:rPr>
        <w:rFonts w:hint="default"/>
      </w:rPr>
    </w:lvl>
    <w:lvl w:ilvl="1" w:tentative="0">
      <w:start w:val="1"/>
      <w:numFmt w:val="decimal"/>
      <w:pStyle w:val="102"/>
      <w:suff w:val="nothing"/>
      <w:lvlText w:val="表%1.%2　"/>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5">
    <w:nsid w:val="666AA2DD"/>
    <w:multiLevelType w:val="multilevel"/>
    <w:tmpl w:val="666AA2DD"/>
    <w:lvl w:ilvl="0" w:tentative="0">
      <w:start w:val="1"/>
      <w:numFmt w:val="none"/>
      <w:pStyle w:val="55"/>
      <w:suff w:val="nothing"/>
      <w:lvlText w:val="%1"/>
      <w:lvlJc w:val="left"/>
      <w:pPr>
        <w:ind w:left="425" w:hanging="425"/>
      </w:pPr>
      <w:rPr>
        <w:rFonts w:hint="default"/>
      </w:rPr>
    </w:lvl>
    <w:lvl w:ilvl="1" w:tentative="0">
      <w:start w:val="1"/>
      <w:numFmt w:val="decimal"/>
      <w:pStyle w:val="62"/>
      <w:suff w:val="nothing"/>
      <w:lvlText w:val="%10.%2 "/>
      <w:lvlJc w:val="left"/>
      <w:pPr>
        <w:ind w:left="0" w:firstLine="0"/>
      </w:pPr>
      <w:rPr>
        <w:rFonts w:hint="default" w:ascii="黑体" w:hAnsi="黑体" w:eastAsia="黑体" w:cs="黑体"/>
        <w:sz w:val="20"/>
      </w:rPr>
    </w:lvl>
    <w:lvl w:ilvl="2" w:tentative="0">
      <w:start w:val="1"/>
      <w:numFmt w:val="decimal"/>
      <w:pStyle w:val="63"/>
      <w:suff w:val="nothing"/>
      <w:lvlText w:val="%10.%2.%3 "/>
      <w:lvlJc w:val="left"/>
      <w:pPr>
        <w:ind w:left="0" w:firstLine="0"/>
      </w:pPr>
      <w:rPr>
        <w:rFonts w:hint="default" w:ascii="黑体" w:hAnsi="黑体" w:eastAsia="黑体" w:cs="黑体"/>
        <w:sz w:val="20"/>
      </w:rPr>
    </w:lvl>
    <w:lvl w:ilvl="3" w:tentative="0">
      <w:start w:val="1"/>
      <w:numFmt w:val="decimal"/>
      <w:pStyle w:val="64"/>
      <w:suff w:val="nothing"/>
      <w:lvlText w:val="%10.%2.%3.%4 "/>
      <w:lvlJc w:val="left"/>
      <w:pPr>
        <w:ind w:left="0" w:firstLine="0"/>
      </w:pPr>
      <w:rPr>
        <w:rFonts w:hint="default" w:ascii="黑体" w:hAnsi="黑体" w:eastAsia="黑体" w:cs="黑体"/>
        <w:sz w:val="20"/>
      </w:rPr>
    </w:lvl>
    <w:lvl w:ilvl="4" w:tentative="0">
      <w:start w:val="1"/>
      <w:numFmt w:val="decimal"/>
      <w:pStyle w:val="65"/>
      <w:suff w:val="nothing"/>
      <w:lvlText w:val="%10.%2.%3.%4.%5 "/>
      <w:lvlJc w:val="left"/>
      <w:pPr>
        <w:ind w:left="0" w:firstLine="0"/>
      </w:pPr>
      <w:rPr>
        <w:rFonts w:hint="default" w:ascii="黑体" w:hAnsi="黑体" w:eastAsia="黑体" w:cs="黑体"/>
        <w:sz w:val="20"/>
      </w:rPr>
    </w:lvl>
    <w:lvl w:ilvl="5" w:tentative="0">
      <w:start w:val="1"/>
      <w:numFmt w:val="decimal"/>
      <w:pStyle w:val="66"/>
      <w:suff w:val="nothing"/>
      <w:lvlText w:val="%10.%2.%3.%4.%5.%6 "/>
      <w:lvlJc w:val="left"/>
      <w:pPr>
        <w:ind w:left="0" w:firstLine="0"/>
      </w:pPr>
      <w:rPr>
        <w:rFonts w:hint="default" w:ascii="黑体" w:hAnsi="黑体" w:eastAsia="黑体" w:cs="黑体"/>
        <w:sz w:val="20"/>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6">
    <w:nsid w:val="76B7C2DF"/>
    <w:multiLevelType w:val="multilevel"/>
    <w:tmpl w:val="76B7C2DF"/>
    <w:lvl w:ilvl="0" w:tentative="0">
      <w:start w:val="1"/>
      <w:numFmt w:val="upperLetter"/>
      <w:pStyle w:val="88"/>
      <w:suff w:val="nothing"/>
      <w:lvlText w:val="附录%1"/>
      <w:lvlJc w:val="left"/>
      <w:pPr>
        <w:ind w:left="0" w:firstLine="0"/>
      </w:pPr>
      <w:rPr>
        <w:rFonts w:hint="default"/>
        <w:spacing w:val="102"/>
      </w:rPr>
    </w:lvl>
    <w:lvl w:ilvl="1" w:tentative="0">
      <w:start w:val="1"/>
      <w:numFmt w:val="decimal"/>
      <w:pStyle w:val="89"/>
      <w:suff w:val="nothing"/>
      <w:lvlText w:val="%1.%2　"/>
      <w:lvlJc w:val="left"/>
      <w:pPr>
        <w:ind w:left="0" w:firstLine="0"/>
      </w:pPr>
      <w:rPr>
        <w:rFonts w:hint="default" w:ascii="黑体" w:hAnsi="黑体" w:eastAsia="黑体" w:cs="黑体"/>
        <w:sz w:val="20"/>
      </w:rPr>
    </w:lvl>
    <w:lvl w:ilvl="2" w:tentative="0">
      <w:start w:val="1"/>
      <w:numFmt w:val="decimal"/>
      <w:pStyle w:val="90"/>
      <w:suff w:val="nothing"/>
      <w:lvlText w:val="%1.%2.%3　"/>
      <w:lvlJc w:val="left"/>
      <w:pPr>
        <w:ind w:left="0" w:firstLine="0"/>
      </w:pPr>
      <w:rPr>
        <w:rFonts w:hint="default" w:ascii="黑体" w:hAnsi="黑体" w:eastAsia="黑体" w:cs="黑体"/>
        <w:sz w:val="20"/>
      </w:rPr>
    </w:lvl>
    <w:lvl w:ilvl="3" w:tentative="0">
      <w:start w:val="1"/>
      <w:numFmt w:val="decimal"/>
      <w:pStyle w:val="91"/>
      <w:suff w:val="nothing"/>
      <w:lvlText w:val="%1.%2.%3.%4　"/>
      <w:lvlJc w:val="left"/>
      <w:pPr>
        <w:ind w:left="0" w:firstLine="0"/>
      </w:pPr>
      <w:rPr>
        <w:rFonts w:hint="default" w:ascii="黑体" w:hAnsi="黑体" w:eastAsia="黑体" w:cs="黑体"/>
        <w:sz w:val="20"/>
      </w:rPr>
    </w:lvl>
    <w:lvl w:ilvl="4" w:tentative="0">
      <w:start w:val="1"/>
      <w:numFmt w:val="decimal"/>
      <w:pStyle w:val="92"/>
      <w:suff w:val="nothing"/>
      <w:lvlText w:val="%1.%2.%3.%4.%5　"/>
      <w:lvlJc w:val="left"/>
      <w:pPr>
        <w:ind w:left="0" w:firstLine="0"/>
      </w:pPr>
      <w:rPr>
        <w:rFonts w:hint="default" w:ascii="黑体" w:hAnsi="黑体" w:eastAsia="黑体" w:cs="黑体"/>
        <w:sz w:val="20"/>
      </w:rPr>
    </w:lvl>
    <w:lvl w:ilvl="5" w:tentative="0">
      <w:start w:val="1"/>
      <w:numFmt w:val="decimal"/>
      <w:pStyle w:val="93"/>
      <w:suff w:val="nothing"/>
      <w:lvlText w:val="%1.%2.%3.%4.%5.%6　"/>
      <w:lvlJc w:val="left"/>
      <w:pPr>
        <w:ind w:left="0" w:firstLine="0"/>
      </w:pPr>
      <w:rPr>
        <w:rFonts w:hint="default" w:ascii="黑体" w:hAnsi="黑体" w:eastAsia="黑体" w:cs="黑体"/>
        <w:sz w:val="20"/>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5"/>
  </w:num>
  <w:num w:numId="2">
    <w:abstractNumId w:val="8"/>
  </w:num>
  <w:num w:numId="3">
    <w:abstractNumId w:val="2"/>
  </w:num>
  <w:num w:numId="4">
    <w:abstractNumId w:val="15"/>
  </w:num>
  <w:num w:numId="5">
    <w:abstractNumId w:val="6"/>
  </w:num>
  <w:num w:numId="6">
    <w:abstractNumId w:val="13"/>
  </w:num>
  <w:num w:numId="7">
    <w:abstractNumId w:val="4"/>
  </w:num>
  <w:num w:numId="8">
    <w:abstractNumId w:val="16"/>
  </w:num>
  <w:num w:numId="9">
    <w:abstractNumId w:val="14"/>
  </w:num>
  <w:num w:numId="10">
    <w:abstractNumId w:val="1"/>
  </w:num>
  <w:num w:numId="11">
    <w:abstractNumId w:val="10"/>
  </w:num>
  <w:num w:numId="12">
    <w:abstractNumId w:val="11"/>
  </w:num>
  <w:num w:numId="13">
    <w:abstractNumId w:val="9"/>
  </w:num>
  <w:num w:numId="14">
    <w:abstractNumId w:val="7"/>
  </w:num>
  <w:num w:numId="15">
    <w:abstractNumId w:val="0"/>
  </w:num>
  <w:num w:numId="16">
    <w:abstractNumId w:val="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8B4FB8"/>
    <w:rsid w:val="00143AFA"/>
    <w:rsid w:val="00657110"/>
    <w:rsid w:val="00955E7F"/>
    <w:rsid w:val="00C94300"/>
    <w:rsid w:val="00D744CA"/>
    <w:rsid w:val="018C6ECC"/>
    <w:rsid w:val="053A2B78"/>
    <w:rsid w:val="06AA529A"/>
    <w:rsid w:val="128B4FB8"/>
    <w:rsid w:val="19033A9C"/>
    <w:rsid w:val="1CAD7A4E"/>
    <w:rsid w:val="287077C3"/>
    <w:rsid w:val="2A8C3C2B"/>
    <w:rsid w:val="30D5792D"/>
    <w:rsid w:val="31F038BB"/>
    <w:rsid w:val="439D0278"/>
    <w:rsid w:val="48872ECF"/>
    <w:rsid w:val="54270EEC"/>
    <w:rsid w:val="551E7EF0"/>
    <w:rsid w:val="58A17A10"/>
    <w:rsid w:val="5BF456DA"/>
    <w:rsid w:val="5FB365C0"/>
    <w:rsid w:val="6E0C0317"/>
    <w:rsid w:val="773E549A"/>
    <w:rsid w:val="7A1B53D2"/>
    <w:rsid w:val="DBBF5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eastAsia" w:ascii="宋体" w:hAnsi="Times New Roman" w:eastAsia="宋体" w:cs="宋体"/>
      <w:kern w:val="2"/>
      <w:sz w:val="21"/>
      <w:szCs w:val="24"/>
      <w:lang w:val="en-US" w:eastAsia="zh-CN" w:bidi="ar-SA"/>
    </w:rPr>
  </w:style>
  <w:style w:type="paragraph" w:styleId="2">
    <w:name w:val="heading 1"/>
    <w:basedOn w:val="1"/>
    <w:next w:val="1"/>
    <w:qFormat/>
    <w:uiPriority w:val="1"/>
    <w:pPr>
      <w:outlineLvl w:val="0"/>
    </w:pPr>
    <w:rPr>
      <w:rFonts w:ascii="黑体" w:hAnsi="黑体" w:eastAsia="黑体"/>
      <w:sz w:val="32"/>
      <w:szCs w:val="32"/>
    </w:rPr>
  </w:style>
  <w:style w:type="paragraph" w:styleId="3">
    <w:name w:val="heading 2"/>
    <w:basedOn w:val="1"/>
    <w:next w:val="1"/>
    <w:semiHidden/>
    <w:unhideWhenUsed/>
    <w:qFormat/>
    <w:uiPriority w:val="0"/>
    <w:pPr>
      <w:keepNext/>
      <w:keepLines/>
      <w:numPr>
        <w:ilvl w:val="1"/>
        <w:numId w:val="1"/>
      </w:numPr>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keepNext/>
      <w:keepLines/>
      <w:numPr>
        <w:ilvl w:val="2"/>
        <w:numId w:val="2"/>
      </w:numPr>
      <w:spacing w:before="260" w:after="260" w:line="413" w:lineRule="auto"/>
      <w:outlineLvl w:val="2"/>
    </w:pPr>
    <w:rPr>
      <w:b/>
      <w:sz w:val="32"/>
    </w:rPr>
  </w:style>
  <w:style w:type="paragraph" w:styleId="5">
    <w:name w:val="heading 4"/>
    <w:basedOn w:val="1"/>
    <w:next w:val="1"/>
    <w:semiHidden/>
    <w:unhideWhenUsed/>
    <w:qFormat/>
    <w:uiPriority w:val="0"/>
    <w:pPr>
      <w:keepNext/>
      <w:keepLines/>
      <w:numPr>
        <w:ilvl w:val="3"/>
        <w:numId w:val="2"/>
      </w:numPr>
      <w:spacing w:before="280" w:after="290" w:line="372" w:lineRule="auto"/>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2"/>
      </w:numPr>
      <w:spacing w:before="280" w:after="290" w:line="372" w:lineRule="auto"/>
      <w:outlineLvl w:val="4"/>
    </w:pPr>
    <w:rPr>
      <w:b/>
      <w:sz w:val="28"/>
    </w:rPr>
  </w:style>
  <w:style w:type="paragraph" w:styleId="7">
    <w:name w:val="heading 6"/>
    <w:basedOn w:val="1"/>
    <w:next w:val="1"/>
    <w:semiHidden/>
    <w:unhideWhenUsed/>
    <w:qFormat/>
    <w:uiPriority w:val="0"/>
    <w:pPr>
      <w:keepNext/>
      <w:keepLines/>
      <w:numPr>
        <w:ilvl w:val="5"/>
        <w:numId w:val="2"/>
      </w:numPr>
      <w:spacing w:before="240" w:after="64" w:line="317" w:lineRule="auto"/>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2"/>
      </w:numPr>
      <w:spacing w:before="240" w:after="64" w:line="317" w:lineRule="auto"/>
      <w:outlineLvl w:val="6"/>
    </w:pPr>
    <w:rPr>
      <w:b/>
      <w:sz w:val="24"/>
    </w:rPr>
  </w:style>
  <w:style w:type="paragraph" w:styleId="9">
    <w:name w:val="heading 8"/>
    <w:basedOn w:val="1"/>
    <w:next w:val="1"/>
    <w:semiHidden/>
    <w:unhideWhenUsed/>
    <w:qFormat/>
    <w:uiPriority w:val="0"/>
    <w:pPr>
      <w:keepNext/>
      <w:keepLines/>
      <w:numPr>
        <w:ilvl w:val="7"/>
        <w:numId w:val="2"/>
      </w:numPr>
      <w:spacing w:before="240" w:after="64" w:line="317" w:lineRule="auto"/>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2"/>
      </w:numPr>
      <w:spacing w:before="240" w:after="64" w:line="317" w:lineRule="auto"/>
      <w:outlineLvl w:val="8"/>
    </w:pPr>
    <w:rPr>
      <w:rFonts w:ascii="Arial" w:hAnsi="Arial" w:eastAsia="黑体"/>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Body Text"/>
    <w:basedOn w:val="1"/>
    <w:qFormat/>
    <w:uiPriority w:val="1"/>
    <w:pPr>
      <w:ind w:left="118"/>
    </w:pPr>
    <w:rPr>
      <w:rFonts w:hAnsi="宋体"/>
      <w:szCs w:val="21"/>
    </w:rPr>
  </w:style>
  <w:style w:type="paragraph" w:styleId="12">
    <w:name w:val="toc 5"/>
    <w:basedOn w:val="1"/>
    <w:next w:val="1"/>
    <w:qFormat/>
    <w:uiPriority w:val="0"/>
    <w:pPr>
      <w:spacing w:line="300" w:lineRule="exact"/>
      <w:ind w:left="1680" w:leftChars="800"/>
    </w:pPr>
    <w:rPr>
      <w:rFonts w:hAnsi="宋体"/>
    </w:rPr>
  </w:style>
  <w:style w:type="paragraph" w:styleId="13">
    <w:name w:val="toc 3"/>
    <w:basedOn w:val="1"/>
    <w:next w:val="1"/>
    <w:qFormat/>
    <w:uiPriority w:val="0"/>
    <w:pPr>
      <w:spacing w:line="300" w:lineRule="exact"/>
      <w:ind w:left="840" w:leftChars="400"/>
    </w:pPr>
    <w:rPr>
      <w:rFonts w:hAnsi="宋体"/>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qFormat/>
    <w:uiPriority w:val="0"/>
    <w:pPr>
      <w:spacing w:line="400" w:lineRule="exact"/>
    </w:pPr>
    <w:rPr>
      <w:rFonts w:hAnsi="宋体"/>
    </w:rPr>
  </w:style>
  <w:style w:type="paragraph" w:styleId="17">
    <w:name w:val="toc 4"/>
    <w:basedOn w:val="1"/>
    <w:next w:val="1"/>
    <w:qFormat/>
    <w:uiPriority w:val="0"/>
    <w:pPr>
      <w:spacing w:line="300" w:lineRule="exact"/>
      <w:ind w:left="1260" w:leftChars="600"/>
    </w:pPr>
    <w:rPr>
      <w:rFonts w:hAnsi="宋体"/>
    </w:rPr>
  </w:style>
  <w:style w:type="paragraph" w:styleId="18">
    <w:name w:val="footnote text"/>
    <w:basedOn w:val="1"/>
    <w:qFormat/>
    <w:uiPriority w:val="0"/>
    <w:pPr>
      <w:widowControl/>
      <w:numPr>
        <w:ilvl w:val="0"/>
        <w:numId w:val="3"/>
      </w:numPr>
      <w:autoSpaceDE w:val="0"/>
      <w:autoSpaceDN w:val="0"/>
      <w:ind w:left="980" w:leftChars="200" w:hanging="560" w:hangingChars="200"/>
    </w:pPr>
    <w:rPr>
      <w:rFonts w:hAnsi="宋体"/>
      <w:sz w:val="15"/>
    </w:rPr>
  </w:style>
  <w:style w:type="paragraph" w:styleId="19">
    <w:name w:val="toc 6"/>
    <w:basedOn w:val="1"/>
    <w:next w:val="1"/>
    <w:qFormat/>
    <w:uiPriority w:val="0"/>
    <w:pPr>
      <w:spacing w:line="300" w:lineRule="exact"/>
      <w:ind w:left="2100" w:leftChars="1000"/>
    </w:pPr>
    <w:rPr>
      <w:rFonts w:hAnsi="宋体"/>
    </w:rPr>
  </w:style>
  <w:style w:type="paragraph" w:styleId="20">
    <w:name w:val="toc 2"/>
    <w:basedOn w:val="1"/>
    <w:next w:val="1"/>
    <w:qFormat/>
    <w:uiPriority w:val="0"/>
    <w:pPr>
      <w:spacing w:line="300" w:lineRule="exact"/>
      <w:ind w:left="420" w:leftChars="200"/>
    </w:pPr>
    <w:rPr>
      <w:rFonts w:hAnsi="宋体"/>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footnote reference"/>
    <w:basedOn w:val="23"/>
    <w:qFormat/>
    <w:uiPriority w:val="0"/>
    <w:rPr>
      <w:rFonts w:hAnsi="宋体" w:cs="宋体"/>
      <w:sz w:val="18"/>
      <w:vertAlign w:val="superscript"/>
    </w:rPr>
  </w:style>
  <w:style w:type="paragraph" w:customStyle="1" w:styleId="25">
    <w:name w:val="标准文件_段"/>
    <w:qFormat/>
    <w:uiPriority w:val="0"/>
    <w:pPr>
      <w:ind w:firstLine="560" w:firstLineChars="200"/>
      <w:jc w:val="both"/>
    </w:pPr>
    <w:rPr>
      <w:rFonts w:hint="eastAsia" w:ascii="宋体" w:hAnsi="Times New Roman" w:eastAsia="宋体" w:cs="宋体"/>
      <w:sz w:val="21"/>
      <w:lang w:val="en-US" w:eastAsia="zh-CN" w:bidi="ar-SA"/>
    </w:rPr>
  </w:style>
  <w:style w:type="paragraph" w:customStyle="1" w:styleId="26">
    <w:name w:val="标准标志"/>
    <w:next w:val="1"/>
    <w:qFormat/>
    <w:uiPriority w:val="0"/>
    <w:pPr>
      <w:framePr w:w="2546" w:h="1134" w:hRule="exact" w:hSpace="181" w:wrap="around" w:vAnchor="margin" w:hAnchor="margin" w:x="6521" w:y="421" w:anchorLock="1"/>
      <w:shd w:val="clear" w:color="auto" w:fill="FFFFFF"/>
      <w:spacing w:line="0" w:lineRule="atLeast"/>
      <w:jc w:val="right"/>
    </w:pPr>
    <w:rPr>
      <w:rFonts w:hint="eastAsia" w:ascii="Times New Roman" w:hAnsi="Times New Roman" w:eastAsia="宋体" w:cs="Times New Roman"/>
      <w:b/>
      <w:w w:val="170"/>
      <w:sz w:val="96"/>
      <w:lang w:val="en-US" w:eastAsia="zh-CN" w:bidi="ar-SA"/>
    </w:rPr>
  </w:style>
  <w:style w:type="paragraph" w:customStyle="1" w:styleId="27">
    <w:name w:val="标准标志2"/>
    <w:next w:val="1"/>
    <w:qFormat/>
    <w:uiPriority w:val="0"/>
    <w:pPr>
      <w:framePr w:wrap="around" w:vAnchor="margin" w:hAnchor="margin" w:x="5614" w:y="398" w:anchorLock="1"/>
      <w:spacing w:line="0" w:lineRule="atLeast"/>
      <w:jc w:val="right"/>
    </w:pPr>
    <w:rPr>
      <w:rFonts w:hint="eastAsia" w:ascii="Times New Roman" w:hAnsi="Times New Roman" w:eastAsia="宋体" w:cs="Times New Roman"/>
      <w:b/>
      <w:w w:val="130"/>
      <w:sz w:val="96"/>
      <w:lang w:val="en-US" w:eastAsia="zh-CN" w:bidi="ar-SA"/>
    </w:rPr>
  </w:style>
  <w:style w:type="paragraph" w:customStyle="1" w:styleId="28">
    <w:name w:val="标准称谓"/>
    <w:next w:val="1"/>
    <w:qFormat/>
    <w:uiPriority w:val="0"/>
    <w:pPr>
      <w:framePr w:w="9639" w:h="624" w:hRule="exact" w:hSpace="181" w:vSpace="181" w:wrap="around" w:vAnchor="page" w:hAnchor="page" w:x="1305" w:y="2269" w:anchorLock="1"/>
      <w:widowControl w:val="0"/>
      <w:kinsoku w:val="0"/>
      <w:overflowPunct w:val="0"/>
      <w:autoSpaceDE w:val="0"/>
      <w:autoSpaceDN w:val="0"/>
      <w:spacing w:line="0" w:lineRule="atLeast"/>
      <w:jc w:val="distribute"/>
    </w:pPr>
    <w:rPr>
      <w:rFonts w:hint="eastAsia" w:ascii="宋体" w:hAnsi="Times New Roman" w:eastAsia="宋体" w:cs="Times New Roman"/>
      <w:b/>
      <w:w w:val="148"/>
      <w:sz w:val="48"/>
      <w:lang w:val="en-US" w:eastAsia="zh-CN" w:bidi="ar-SA"/>
    </w:rPr>
  </w:style>
  <w:style w:type="paragraph" w:customStyle="1" w:styleId="29">
    <w:name w:val="标准称谓2"/>
    <w:next w:val="1"/>
    <w:qFormat/>
    <w:uiPriority w:val="0"/>
    <w:pPr>
      <w:framePr w:w="6781" w:h="907" w:hRule="exact" w:hSpace="181" w:vSpace="181" w:wrap="around" w:vAnchor="page" w:hAnchor="page" w:xAlign="center" w:y="2269" w:anchorLock="1"/>
      <w:widowControl w:val="0"/>
      <w:kinsoku w:val="0"/>
      <w:overflowPunct w:val="0"/>
      <w:autoSpaceDE w:val="0"/>
      <w:autoSpaceDN w:val="0"/>
      <w:spacing w:line="0" w:lineRule="atLeast"/>
      <w:jc w:val="distribute"/>
    </w:pPr>
    <w:rPr>
      <w:rFonts w:hint="eastAsia" w:ascii="Times New Roman" w:hAnsi="Times New Roman" w:eastAsia="黑体" w:cs="Times New Roman"/>
      <w:spacing w:val="-40"/>
      <w:kern w:val="2"/>
      <w:sz w:val="72"/>
      <w:szCs w:val="72"/>
      <w:lang w:val="en-US" w:eastAsia="zh-CN" w:bidi="ar-SA"/>
    </w:rPr>
  </w:style>
  <w:style w:type="paragraph" w:customStyle="1" w:styleId="30">
    <w:name w:val="标准称谓3"/>
    <w:next w:val="1"/>
    <w:qFormat/>
    <w:uiPriority w:val="0"/>
    <w:pPr>
      <w:framePr w:w="9639" w:h="624" w:hRule="exact" w:hSpace="181" w:vSpace="181" w:wrap="around" w:vAnchor="page" w:hAnchor="page" w:x="1305" w:y="2269" w:anchorLock="1"/>
      <w:widowControl w:val="0"/>
      <w:kinsoku w:val="0"/>
      <w:overflowPunct w:val="0"/>
      <w:autoSpaceDE w:val="0"/>
      <w:autoSpaceDN w:val="0"/>
      <w:spacing w:line="0" w:lineRule="atLeast"/>
      <w:jc w:val="distribute"/>
    </w:pPr>
    <w:rPr>
      <w:rFonts w:hint="eastAsia" w:ascii="黑体" w:hAnsi="Times New Roman" w:eastAsia="黑体" w:cs="Times New Roman"/>
      <w:sz w:val="48"/>
      <w:lang w:val="en-US" w:eastAsia="zh-CN" w:bidi="ar-SA"/>
    </w:rPr>
  </w:style>
  <w:style w:type="paragraph" w:customStyle="1" w:styleId="31">
    <w:name w:val="标准书脚_奇数页"/>
    <w:qFormat/>
    <w:uiPriority w:val="0"/>
    <w:pPr>
      <w:ind w:right="227"/>
      <w:jc w:val="right"/>
    </w:pPr>
    <w:rPr>
      <w:rFonts w:hint="eastAsia" w:ascii="宋体" w:hAnsi="Times New Roman" w:eastAsia="宋体" w:cs="宋体"/>
      <w:sz w:val="18"/>
      <w:lang w:val="en-US" w:eastAsia="zh-CN" w:bidi="ar-SA"/>
    </w:rPr>
  </w:style>
  <w:style w:type="paragraph" w:customStyle="1" w:styleId="32">
    <w:name w:val="标准书眉_奇数页"/>
    <w:next w:val="1"/>
    <w:qFormat/>
    <w:uiPriority w:val="0"/>
    <w:pPr>
      <w:tabs>
        <w:tab w:val="center" w:pos="4153"/>
        <w:tab w:val="right" w:pos="8306"/>
      </w:tabs>
      <w:spacing w:after="120"/>
      <w:jc w:val="right"/>
    </w:pPr>
    <w:rPr>
      <w:rFonts w:hint="eastAsia" w:ascii="黑体" w:hAnsi="Times New Roman" w:eastAsia="黑体" w:cs="黑体"/>
      <w:sz w:val="21"/>
      <w:lang w:val="en-US" w:eastAsia="zh-CN" w:bidi="ar-SA"/>
    </w:rPr>
  </w:style>
  <w:style w:type="paragraph" w:customStyle="1" w:styleId="33">
    <w:name w:val="标准书眉_偶数页"/>
    <w:next w:val="1"/>
    <w:qFormat/>
    <w:uiPriority w:val="0"/>
    <w:pPr>
      <w:spacing w:after="120"/>
    </w:pPr>
    <w:rPr>
      <w:rFonts w:hint="eastAsia" w:ascii="黑体" w:hAnsi="Times New Roman" w:eastAsia="黑体" w:cs="黑体"/>
      <w:sz w:val="21"/>
      <w:lang w:val="en-US" w:eastAsia="zh-CN" w:bidi="ar-SA"/>
    </w:rPr>
  </w:style>
  <w:style w:type="paragraph" w:customStyle="1" w:styleId="34">
    <w:name w:val="标准文件_参考文献标题"/>
    <w:basedOn w:val="1"/>
    <w:next w:val="1"/>
    <w:qFormat/>
    <w:uiPriority w:val="0"/>
    <w:pPr>
      <w:widowControl/>
      <w:spacing w:before="126" w:beforeLines="40" w:after="157" w:afterLines="50"/>
      <w:jc w:val="center"/>
      <w:outlineLvl w:val="0"/>
    </w:pPr>
    <w:rPr>
      <w:rFonts w:ascii="黑体" w:eastAsia="黑体" w:cs="黑体"/>
      <w:kern w:val="0"/>
    </w:rPr>
  </w:style>
  <w:style w:type="paragraph" w:customStyle="1" w:styleId="35">
    <w:name w:val="封面标准顶部线"/>
    <w:qFormat/>
    <w:uiPriority w:val="0"/>
    <w:pPr>
      <w:framePr w:w="9673" w:hSpace="181" w:wrap="around" w:vAnchor="page" w:hAnchor="page" w:x="1390" w:y="4242"/>
      <w:spacing w:line="0" w:lineRule="atLeast"/>
    </w:pPr>
    <w:rPr>
      <w:rFonts w:hint="eastAsia" w:ascii="宋体" w:hAnsi="Times New Roman" w:eastAsia="宋体" w:cs="Times New Roman"/>
      <w:sz w:val="21"/>
      <w:lang w:val="en-US" w:eastAsia="zh-CN" w:bidi="ar-SA"/>
    </w:rPr>
  </w:style>
  <w:style w:type="paragraph" w:customStyle="1" w:styleId="36">
    <w:name w:val="发布部门"/>
    <w:next w:val="25"/>
    <w:qFormat/>
    <w:uiPriority w:val="0"/>
    <w:pPr>
      <w:framePr w:w="7938" w:h="1134" w:hRule="exact" w:hSpace="125" w:vSpace="181" w:wrap="around" w:vAnchor="page" w:hAnchor="page" w:x="2150" w:y="14630" w:anchorLock="1"/>
      <w:spacing w:before="100"/>
      <w:jc w:val="center"/>
    </w:pPr>
    <w:rPr>
      <w:rFonts w:hint="eastAsia" w:ascii="宋体" w:hAnsi="Times New Roman" w:eastAsia="宋体" w:cs="Times New Roman"/>
      <w:spacing w:val="20"/>
      <w:w w:val="135"/>
      <w:sz w:val="28"/>
      <w:lang w:val="en-US" w:eastAsia="zh-CN" w:bidi="ar-SA"/>
    </w:rPr>
  </w:style>
  <w:style w:type="paragraph" w:customStyle="1" w:styleId="37">
    <w:name w:val="发布日期"/>
    <w:qFormat/>
    <w:uiPriority w:val="0"/>
    <w:pPr>
      <w:framePr w:w="3997" w:h="471" w:hRule="exact" w:hSpace="181" w:vSpace="181" w:wrap="around" w:vAnchor="margin" w:hAnchor="page" w:y="14080" w:anchorLock="1"/>
      <w:spacing w:line="360" w:lineRule="exact"/>
    </w:pPr>
    <w:rPr>
      <w:rFonts w:hint="eastAsia" w:ascii="黑体" w:hAnsi="Times New Roman" w:eastAsia="黑体" w:cs="Times New Roman"/>
      <w:sz w:val="28"/>
      <w:lang w:val="en-US" w:eastAsia="zh-CN" w:bidi="ar-SA"/>
    </w:rPr>
  </w:style>
  <w:style w:type="paragraph" w:customStyle="1" w:styleId="38">
    <w:name w:val="实施日期"/>
    <w:basedOn w:val="37"/>
    <w:qFormat/>
    <w:uiPriority w:val="0"/>
    <w:pPr>
      <w:framePr w:hSpace="0" w:wrap="around" w:vAnchor="page" w:x="7089" w:y="14176"/>
      <w:jc w:val="right"/>
    </w:pPr>
  </w:style>
  <w:style w:type="paragraph" w:customStyle="1" w:styleId="39">
    <w:name w:val="封面日期"/>
    <w:qFormat/>
    <w:uiPriority w:val="0"/>
    <w:pPr>
      <w:framePr w:w="9673" w:vSpace="181" w:wrap="around" w:vAnchor="page" w:hAnchor="page" w:x="1419" w:y="14176" w:anchorLock="1"/>
      <w:spacing w:line="360" w:lineRule="exact"/>
    </w:pPr>
    <w:rPr>
      <w:rFonts w:hint="eastAsia" w:ascii="黑体" w:hAnsi="Times New Roman" w:eastAsia="黑体" w:cs="Times New Roman"/>
      <w:sz w:val="28"/>
      <w:lang w:val="en-US" w:eastAsia="zh-CN" w:bidi="ar-SA"/>
    </w:rPr>
  </w:style>
  <w:style w:type="paragraph" w:customStyle="1" w:styleId="40">
    <w:name w:val="封面标准代替信息"/>
    <w:qFormat/>
    <w:uiPriority w:val="0"/>
    <w:pPr>
      <w:framePr w:w="9355" w:h="624" w:hRule="exact" w:hSpace="181" w:vSpace="181" w:wrap="around" w:vAnchor="page" w:hAnchor="page" w:x="1419" w:y="3284"/>
      <w:spacing w:before="57" w:line="280" w:lineRule="exact"/>
      <w:jc w:val="right"/>
    </w:pPr>
    <w:rPr>
      <w:rFonts w:hint="eastAsia" w:ascii="黑体" w:hAnsi="Times New Roman" w:eastAsia="黑体" w:cs="Times New Roman"/>
      <w:sz w:val="21"/>
      <w:lang w:val="en-US" w:eastAsia="zh-CN" w:bidi="ar-SA"/>
    </w:rPr>
  </w:style>
  <w:style w:type="paragraph" w:customStyle="1" w:styleId="41">
    <w:name w:val="封面标准号2"/>
    <w:qFormat/>
    <w:uiPriority w:val="0"/>
    <w:pPr>
      <w:framePr w:w="9355" w:h="624" w:hRule="exact" w:hSpace="181" w:vSpace="181" w:wrap="around" w:vAnchor="page" w:hAnchor="page" w:x="1419" w:y="3284"/>
      <w:spacing w:line="280" w:lineRule="exact"/>
      <w:jc w:val="right"/>
    </w:pPr>
    <w:rPr>
      <w:rFonts w:hint="eastAsia" w:ascii="黑体" w:hAnsi="Times New Roman" w:eastAsia="黑体" w:cs="Times New Roman"/>
      <w:sz w:val="28"/>
      <w:lang w:val="en-US" w:eastAsia="zh-CN" w:bidi="ar-SA"/>
    </w:rPr>
  </w:style>
  <w:style w:type="paragraph" w:customStyle="1" w:styleId="42">
    <w:name w:val="封面标准名称"/>
    <w:qFormat/>
    <w:uiPriority w:val="0"/>
    <w:pPr>
      <w:framePr w:w="9639" w:h="6974" w:hRule="exact" w:wrap="around" w:vAnchor="page" w:hAnchor="page" w:x="1419" w:y="6408"/>
      <w:spacing w:line="700" w:lineRule="exact"/>
      <w:jc w:val="center"/>
    </w:pPr>
    <w:rPr>
      <w:rFonts w:hint="eastAsia" w:ascii="黑体" w:hAnsi="Times New Roman" w:eastAsia="黑体" w:cs="Times New Roman"/>
      <w:sz w:val="52"/>
      <w:lang w:val="en-US" w:eastAsia="zh-CN" w:bidi="ar-SA"/>
    </w:rPr>
  </w:style>
  <w:style w:type="paragraph" w:customStyle="1" w:styleId="43">
    <w:name w:val="封面标准英文名称"/>
    <w:basedOn w:val="42"/>
    <w:qFormat/>
    <w:uiPriority w:val="0"/>
    <w:pPr>
      <w:framePr w:wrap="around"/>
      <w:widowControl w:val="0"/>
      <w:spacing w:before="410" w:line="360" w:lineRule="exact"/>
      <w:textAlignment w:val="bottom"/>
    </w:pPr>
    <w:rPr>
      <w:rFonts w:ascii="Times New Roman"/>
      <w:sz w:val="28"/>
    </w:rPr>
  </w:style>
  <w:style w:type="paragraph" w:customStyle="1" w:styleId="44">
    <w:name w:val="封面一致性程度标识"/>
    <w:basedOn w:val="43"/>
    <w:qFormat/>
    <w:uiPriority w:val="0"/>
    <w:pPr>
      <w:framePr w:wrap="around"/>
      <w:spacing w:before="760"/>
    </w:pPr>
  </w:style>
  <w:style w:type="paragraph" w:customStyle="1" w:styleId="45">
    <w:name w:val="封面标准文稿类别"/>
    <w:basedOn w:val="44"/>
    <w:qFormat/>
    <w:uiPriority w:val="0"/>
    <w:pPr>
      <w:framePr w:wrap="around"/>
      <w:spacing w:before="440" w:after="160"/>
    </w:pPr>
    <w:rPr>
      <w:rFonts w:ascii="黑体" w:hAnsi="黑体" w:cs="黑体"/>
      <w:sz w:val="24"/>
    </w:rPr>
  </w:style>
  <w:style w:type="paragraph" w:customStyle="1" w:styleId="46">
    <w:name w:val="封面标准文稿编辑信息"/>
    <w:basedOn w:val="45"/>
    <w:qFormat/>
    <w:uiPriority w:val="0"/>
    <w:pPr>
      <w:framePr w:wrap="around"/>
      <w:spacing w:before="180" w:line="240" w:lineRule="atLeast"/>
    </w:pPr>
    <w:rPr>
      <w:sz w:val="21"/>
    </w:rPr>
  </w:style>
  <w:style w:type="paragraph" w:customStyle="1" w:styleId="47">
    <w:name w:val="封面标准文稿附件"/>
    <w:basedOn w:val="45"/>
    <w:qFormat/>
    <w:uiPriority w:val="0"/>
    <w:pPr>
      <w:framePr w:wrap="around"/>
      <w:spacing w:before="937" w:beforeLines="300" w:afterLines="30" w:line="240" w:lineRule="auto"/>
    </w:pPr>
    <w:rPr>
      <w:rFonts w:ascii="Times New Roman" w:hAnsi="Times New Roman" w:cs="Times New Roman"/>
      <w:b/>
      <w:sz w:val="21"/>
    </w:rPr>
  </w:style>
  <w:style w:type="paragraph" w:customStyle="1" w:styleId="48">
    <w:name w:val="其他发布部门"/>
    <w:basedOn w:val="36"/>
    <w:qFormat/>
    <w:uiPriority w:val="0"/>
    <w:pPr>
      <w:framePr w:wrap="around" w:y="15310"/>
      <w:spacing w:line="0" w:lineRule="atLeast"/>
    </w:pPr>
    <w:rPr>
      <w:rFonts w:ascii="黑体" w:hAnsi="黑体" w:eastAsia="黑体" w:cs="黑体"/>
    </w:rPr>
  </w:style>
  <w:style w:type="paragraph" w:customStyle="1" w:styleId="49">
    <w:name w:val="其他发布部门2"/>
    <w:basedOn w:val="36"/>
    <w:qFormat/>
    <w:uiPriority w:val="0"/>
    <w:pPr>
      <w:framePr w:w="7433" w:h="584" w:hRule="exact" w:hSpace="181" w:wrap="around" w:vAnchor="margin" w:hAnchor="margin" w:xAlign="center" w:y="15027"/>
      <w:spacing w:line="0" w:lineRule="atLeast"/>
    </w:pPr>
    <w:rPr>
      <w:rFonts w:ascii="黑体" w:hAnsi="黑体" w:eastAsia="黑体"/>
      <w:spacing w:val="0"/>
      <w:w w:val="100"/>
    </w:rPr>
  </w:style>
  <w:style w:type="paragraph" w:customStyle="1" w:styleId="50">
    <w:name w:val="其他发布部门3"/>
    <w:qFormat/>
    <w:uiPriority w:val="0"/>
    <w:pPr>
      <w:framePr w:w="9248" w:h="1259" w:hRule="exact" w:hSpace="181" w:vSpace="181" w:wrap="auto" w:vAnchor="margin" w:hAnchor="margin" w:xAlign="center" w:y="14545"/>
      <w:spacing w:line="0" w:lineRule="atLeast"/>
      <w:jc w:val="center"/>
    </w:pPr>
    <w:rPr>
      <w:rFonts w:hint="eastAsia" w:ascii="黑体" w:hAnsi="Times New Roman" w:eastAsia="黑体" w:cs="Times New Roman"/>
      <w:sz w:val="28"/>
      <w:lang w:val="en-US" w:eastAsia="zh-CN" w:bidi="ar-SA"/>
    </w:rPr>
  </w:style>
  <w:style w:type="paragraph" w:customStyle="1" w:styleId="51">
    <w:name w:val="其他发布日期"/>
    <w:basedOn w:val="37"/>
    <w:qFormat/>
    <w:uiPriority w:val="0"/>
    <w:pPr>
      <w:framePr w:hSpace="0" w:wrap="around" w:vAnchor="page" w:x="1419" w:y="14176"/>
    </w:pPr>
  </w:style>
  <w:style w:type="paragraph" w:customStyle="1" w:styleId="52">
    <w:name w:val="其他实施日期"/>
    <w:basedOn w:val="38"/>
    <w:qFormat/>
    <w:uiPriority w:val="0"/>
    <w:pPr>
      <w:framePr w:wrap="around"/>
    </w:pPr>
  </w:style>
  <w:style w:type="paragraph" w:customStyle="1" w:styleId="53">
    <w:name w:val="文献分类号"/>
    <w:qFormat/>
    <w:uiPriority w:val="0"/>
    <w:pPr>
      <w:framePr w:wrap="around" w:vAnchor="page" w:hAnchor="page" w:x="1373" w:y="568"/>
      <w:widowControl w:val="0"/>
      <w:textAlignment w:val="center"/>
    </w:pPr>
    <w:rPr>
      <w:rFonts w:hint="eastAsia" w:ascii="黑体" w:hAnsi="Times New Roman" w:eastAsia="黑体" w:cs="Times New Roman"/>
      <w:kern w:val="21"/>
      <w:sz w:val="21"/>
      <w:lang w:val="en-US" w:eastAsia="zh-CN" w:bidi="ar-SA"/>
    </w:rPr>
  </w:style>
  <w:style w:type="paragraph" w:customStyle="1" w:styleId="54">
    <w:name w:val="标准文件_目录标题"/>
    <w:basedOn w:val="1"/>
    <w:qFormat/>
    <w:uiPriority w:val="0"/>
    <w:pPr>
      <w:shd w:val="clear" w:color="auto" w:fill="FFFFFF"/>
      <w:spacing w:after="469" w:afterLines="150"/>
      <w:jc w:val="center"/>
    </w:pPr>
    <w:rPr>
      <w:rFonts w:ascii="黑体" w:eastAsia="黑体" w:cs="黑体"/>
      <w:kern w:val="0"/>
      <w:sz w:val="32"/>
    </w:rPr>
  </w:style>
  <w:style w:type="paragraph" w:customStyle="1" w:styleId="55">
    <w:name w:val="标准文件_前言、引言标题"/>
    <w:next w:val="1"/>
    <w:qFormat/>
    <w:uiPriority w:val="0"/>
    <w:pPr>
      <w:numPr>
        <w:ilvl w:val="0"/>
        <w:numId w:val="4"/>
      </w:numPr>
      <w:spacing w:after="469" w:afterLines="150"/>
      <w:jc w:val="center"/>
      <w:outlineLvl w:val="0"/>
    </w:pPr>
    <w:rPr>
      <w:rFonts w:hint="eastAsia" w:ascii="黑体" w:hAnsi="Times New Roman" w:eastAsia="黑体" w:cs="黑体"/>
      <w:sz w:val="32"/>
      <w:lang w:val="en-US" w:eastAsia="zh-CN" w:bidi="ar-SA"/>
    </w:rPr>
  </w:style>
  <w:style w:type="paragraph" w:customStyle="1" w:styleId="56">
    <w:name w:val="标准文件_正文标准名称"/>
    <w:basedOn w:val="1"/>
    <w:link w:val="120"/>
    <w:qFormat/>
    <w:uiPriority w:val="0"/>
    <w:pPr>
      <w:widowControl/>
      <w:spacing w:after="640" w:line="400" w:lineRule="exact"/>
      <w:jc w:val="center"/>
    </w:pPr>
    <w:rPr>
      <w:rFonts w:ascii="黑体" w:hAnsi="黑体" w:eastAsia="黑体" w:cs="黑体"/>
      <w:sz w:val="32"/>
    </w:rPr>
  </w:style>
  <w:style w:type="paragraph" w:customStyle="1" w:styleId="57">
    <w:name w:val="标准文件_一级项"/>
    <w:next w:val="25"/>
    <w:qFormat/>
    <w:uiPriority w:val="0"/>
    <w:pPr>
      <w:numPr>
        <w:ilvl w:val="0"/>
        <w:numId w:val="5"/>
      </w:numPr>
    </w:pPr>
    <w:rPr>
      <w:rFonts w:hint="eastAsia" w:ascii="宋体" w:hAnsi="Times New Roman" w:eastAsia="宋体" w:cs="宋体"/>
      <w:sz w:val="21"/>
      <w:lang w:val="en-US" w:eastAsia="zh-CN" w:bidi="ar-SA"/>
    </w:rPr>
  </w:style>
  <w:style w:type="paragraph" w:customStyle="1" w:styleId="58">
    <w:name w:val="标准文件_二级项2"/>
    <w:basedOn w:val="25"/>
    <w:next w:val="25"/>
    <w:qFormat/>
    <w:uiPriority w:val="0"/>
    <w:pPr>
      <w:numPr>
        <w:ilvl w:val="1"/>
        <w:numId w:val="5"/>
      </w:numPr>
    </w:pPr>
  </w:style>
  <w:style w:type="paragraph" w:customStyle="1" w:styleId="59">
    <w:name w:val="标准文件_三级项"/>
    <w:basedOn w:val="1"/>
    <w:next w:val="25"/>
    <w:qFormat/>
    <w:uiPriority w:val="0"/>
    <w:pPr>
      <w:numPr>
        <w:ilvl w:val="2"/>
        <w:numId w:val="6"/>
      </w:numPr>
      <w:spacing w:line="300" w:lineRule="exact"/>
    </w:pPr>
    <w:rPr>
      <w:rFonts w:hAnsi="Calibri"/>
    </w:rPr>
  </w:style>
  <w:style w:type="paragraph" w:customStyle="1" w:styleId="60">
    <w:name w:val="标准文件_字母编号列项（一级）"/>
    <w:next w:val="25"/>
    <w:qFormat/>
    <w:uiPriority w:val="0"/>
    <w:pPr>
      <w:numPr>
        <w:ilvl w:val="0"/>
        <w:numId w:val="6"/>
      </w:numPr>
      <w:tabs>
        <w:tab w:val="left" w:pos="839"/>
        <w:tab w:val="clear" w:pos="851"/>
      </w:tabs>
      <w:jc w:val="both"/>
    </w:pPr>
    <w:rPr>
      <w:rFonts w:hint="eastAsia" w:ascii="宋体" w:hAnsi="Times New Roman" w:eastAsia="宋体" w:cs="宋体"/>
      <w:sz w:val="21"/>
      <w:lang w:val="en-US" w:eastAsia="zh-CN" w:bidi="ar-SA"/>
    </w:rPr>
  </w:style>
  <w:style w:type="paragraph" w:customStyle="1" w:styleId="61">
    <w:name w:val="标准文件_数字编号列项（二级）"/>
    <w:next w:val="25"/>
    <w:qFormat/>
    <w:uiPriority w:val="0"/>
    <w:pPr>
      <w:numPr>
        <w:ilvl w:val="1"/>
        <w:numId w:val="6"/>
      </w:numPr>
      <w:tabs>
        <w:tab w:val="left" w:pos="1259"/>
        <w:tab w:val="clear" w:pos="1276"/>
      </w:tabs>
      <w:ind w:left="1259" w:hanging="419"/>
      <w:jc w:val="both"/>
    </w:pPr>
    <w:rPr>
      <w:rFonts w:hint="eastAsia" w:ascii="宋体" w:hAnsi="Times New Roman" w:eastAsia="宋体" w:cs="Times New Roman"/>
      <w:sz w:val="21"/>
      <w:lang w:val="en-US" w:eastAsia="zh-CN" w:bidi="ar-SA"/>
    </w:rPr>
  </w:style>
  <w:style w:type="paragraph" w:customStyle="1" w:styleId="62">
    <w:name w:val="标准文件_引言一级条标题"/>
    <w:basedOn w:val="25"/>
    <w:next w:val="25"/>
    <w:qFormat/>
    <w:uiPriority w:val="0"/>
    <w:pPr>
      <w:numPr>
        <w:ilvl w:val="1"/>
        <w:numId w:val="4"/>
      </w:numPr>
      <w:spacing w:before="157" w:beforeLines="50" w:after="157" w:afterLines="50"/>
    </w:pPr>
    <w:rPr>
      <w:rFonts w:ascii="黑体" w:hAnsi="黑体" w:eastAsia="黑体" w:cs="黑体"/>
    </w:rPr>
  </w:style>
  <w:style w:type="paragraph" w:customStyle="1" w:styleId="63">
    <w:name w:val="标准文件_引言二级条标题"/>
    <w:basedOn w:val="25"/>
    <w:next w:val="25"/>
    <w:qFormat/>
    <w:uiPriority w:val="0"/>
    <w:pPr>
      <w:numPr>
        <w:ilvl w:val="2"/>
        <w:numId w:val="4"/>
      </w:numPr>
      <w:spacing w:before="157" w:beforeLines="50" w:after="157" w:afterLines="50"/>
    </w:pPr>
    <w:rPr>
      <w:rFonts w:ascii="黑体" w:hAnsi="黑体" w:eastAsia="黑体" w:cs="黑体"/>
    </w:rPr>
  </w:style>
  <w:style w:type="paragraph" w:customStyle="1" w:styleId="64">
    <w:name w:val="标准文件_引言三级条标题"/>
    <w:basedOn w:val="25"/>
    <w:next w:val="25"/>
    <w:qFormat/>
    <w:uiPriority w:val="0"/>
    <w:pPr>
      <w:numPr>
        <w:ilvl w:val="3"/>
        <w:numId w:val="4"/>
      </w:numPr>
      <w:spacing w:before="157" w:beforeLines="50" w:after="157" w:afterLines="50"/>
    </w:pPr>
    <w:rPr>
      <w:rFonts w:ascii="黑体" w:hAnsi="黑体" w:eastAsia="黑体" w:cs="黑体"/>
    </w:rPr>
  </w:style>
  <w:style w:type="paragraph" w:customStyle="1" w:styleId="65">
    <w:name w:val="标准文件_引言四级条标题"/>
    <w:basedOn w:val="25"/>
    <w:next w:val="25"/>
    <w:qFormat/>
    <w:uiPriority w:val="0"/>
    <w:pPr>
      <w:numPr>
        <w:ilvl w:val="4"/>
        <w:numId w:val="4"/>
      </w:numPr>
      <w:spacing w:before="157" w:beforeLines="50" w:after="157" w:afterLines="50"/>
    </w:pPr>
    <w:rPr>
      <w:rFonts w:ascii="黑体" w:hAnsi="黑体" w:eastAsia="黑体" w:cs="黑体"/>
    </w:rPr>
  </w:style>
  <w:style w:type="paragraph" w:customStyle="1" w:styleId="66">
    <w:name w:val="标准文件_引言五级条标题"/>
    <w:basedOn w:val="25"/>
    <w:next w:val="25"/>
    <w:qFormat/>
    <w:uiPriority w:val="0"/>
    <w:pPr>
      <w:numPr>
        <w:ilvl w:val="5"/>
        <w:numId w:val="4"/>
      </w:numPr>
      <w:spacing w:before="157" w:beforeLines="50" w:after="157" w:afterLines="50"/>
    </w:pPr>
    <w:rPr>
      <w:rFonts w:ascii="黑体" w:hAnsi="黑体" w:eastAsia="黑体" w:cs="黑体"/>
    </w:rPr>
  </w:style>
  <w:style w:type="paragraph" w:customStyle="1" w:styleId="67">
    <w:name w:val="标准文件_引言一级无标题"/>
    <w:basedOn w:val="62"/>
    <w:next w:val="25"/>
    <w:qFormat/>
    <w:uiPriority w:val="0"/>
    <w:pPr>
      <w:spacing w:before="4" w:beforeLines="1" w:after="4" w:afterLines="1" w:line="276" w:lineRule="auto"/>
    </w:pPr>
    <w:rPr>
      <w:rFonts w:ascii="宋体" w:hAnsi="宋体" w:eastAsia="宋体" w:cs="宋体"/>
    </w:rPr>
  </w:style>
  <w:style w:type="paragraph" w:customStyle="1" w:styleId="68">
    <w:name w:val="标准文件_引言二级无标题"/>
    <w:basedOn w:val="63"/>
    <w:next w:val="25"/>
    <w:qFormat/>
    <w:uiPriority w:val="0"/>
    <w:pPr>
      <w:spacing w:before="4" w:beforeLines="1" w:after="4" w:afterLines="1" w:line="276" w:lineRule="auto"/>
    </w:pPr>
    <w:rPr>
      <w:rFonts w:ascii="宋体" w:hAnsi="宋体" w:eastAsia="宋体" w:cs="宋体"/>
    </w:rPr>
  </w:style>
  <w:style w:type="paragraph" w:customStyle="1" w:styleId="69">
    <w:name w:val="标准文件_引言三级无标题"/>
    <w:basedOn w:val="64"/>
    <w:next w:val="25"/>
    <w:qFormat/>
    <w:uiPriority w:val="0"/>
    <w:pPr>
      <w:spacing w:before="4" w:beforeLines="1" w:after="4" w:afterLines="1" w:line="276" w:lineRule="auto"/>
    </w:pPr>
    <w:rPr>
      <w:rFonts w:ascii="宋体" w:hAnsi="宋体" w:eastAsia="宋体" w:cs="宋体"/>
    </w:rPr>
  </w:style>
  <w:style w:type="paragraph" w:customStyle="1" w:styleId="70">
    <w:name w:val="标准文件_引言四级无标题"/>
    <w:basedOn w:val="65"/>
    <w:next w:val="25"/>
    <w:qFormat/>
    <w:uiPriority w:val="0"/>
    <w:pPr>
      <w:spacing w:before="4" w:beforeLines="1" w:after="4" w:afterLines="1" w:line="276" w:lineRule="auto"/>
    </w:pPr>
    <w:rPr>
      <w:rFonts w:ascii="宋体" w:hAnsi="宋体" w:eastAsia="宋体" w:cs="宋体"/>
    </w:rPr>
  </w:style>
  <w:style w:type="paragraph" w:customStyle="1" w:styleId="71">
    <w:name w:val="标准文件_引言五级无标题"/>
    <w:basedOn w:val="66"/>
    <w:next w:val="25"/>
    <w:qFormat/>
    <w:uiPriority w:val="0"/>
    <w:pPr>
      <w:spacing w:before="4" w:beforeLines="1" w:after="4" w:afterLines="1" w:line="276" w:lineRule="auto"/>
    </w:pPr>
    <w:rPr>
      <w:rFonts w:ascii="宋体" w:hAnsi="宋体" w:eastAsia="宋体" w:cs="宋体"/>
    </w:rPr>
  </w:style>
  <w:style w:type="paragraph" w:customStyle="1" w:styleId="72">
    <w:name w:val="标准文件_章标题"/>
    <w:next w:val="25"/>
    <w:qFormat/>
    <w:uiPriority w:val="0"/>
    <w:pPr>
      <w:numPr>
        <w:ilvl w:val="0"/>
        <w:numId w:val="7"/>
      </w:numPr>
      <w:spacing w:before="313" w:beforeLines="100" w:after="313" w:afterLines="100"/>
      <w:jc w:val="both"/>
      <w:outlineLvl w:val="0"/>
    </w:pPr>
    <w:rPr>
      <w:rFonts w:hint="eastAsia" w:ascii="黑体" w:hAnsi="Times New Roman" w:eastAsia="黑体" w:cs="黑体"/>
      <w:sz w:val="21"/>
      <w:lang w:val="en-US" w:eastAsia="zh-CN" w:bidi="ar-SA"/>
    </w:rPr>
  </w:style>
  <w:style w:type="paragraph" w:customStyle="1" w:styleId="73">
    <w:name w:val="标准文件_一级条标题"/>
    <w:basedOn w:val="72"/>
    <w:next w:val="25"/>
    <w:qFormat/>
    <w:uiPriority w:val="0"/>
    <w:pPr>
      <w:numPr>
        <w:ilvl w:val="1"/>
      </w:numPr>
      <w:spacing w:before="157" w:beforeLines="50" w:after="157" w:afterLines="50"/>
      <w:outlineLvl w:val="1"/>
    </w:pPr>
  </w:style>
  <w:style w:type="paragraph" w:customStyle="1" w:styleId="74">
    <w:name w:val="标准文件_二级条标题"/>
    <w:next w:val="25"/>
    <w:qFormat/>
    <w:uiPriority w:val="0"/>
    <w:pPr>
      <w:numPr>
        <w:ilvl w:val="2"/>
        <w:numId w:val="7"/>
      </w:numPr>
      <w:spacing w:before="157" w:beforeLines="50" w:after="157" w:afterLines="50"/>
      <w:jc w:val="both"/>
      <w:outlineLvl w:val="2"/>
    </w:pPr>
    <w:rPr>
      <w:rFonts w:hint="eastAsia" w:ascii="黑体" w:hAnsi="黑体" w:eastAsia="黑体" w:cs="黑体"/>
      <w:sz w:val="21"/>
      <w:lang w:val="en-US" w:eastAsia="zh-CN" w:bidi="ar-SA"/>
    </w:rPr>
  </w:style>
  <w:style w:type="paragraph" w:customStyle="1" w:styleId="75">
    <w:name w:val="标准文件_三级条标题"/>
    <w:basedOn w:val="74"/>
    <w:next w:val="25"/>
    <w:qFormat/>
    <w:uiPriority w:val="0"/>
    <w:pPr>
      <w:numPr>
        <w:ilvl w:val="3"/>
      </w:numPr>
      <w:outlineLvl w:val="3"/>
    </w:pPr>
  </w:style>
  <w:style w:type="paragraph" w:customStyle="1" w:styleId="76">
    <w:name w:val="标准文件_四级条标题"/>
    <w:next w:val="25"/>
    <w:qFormat/>
    <w:uiPriority w:val="0"/>
    <w:pPr>
      <w:numPr>
        <w:ilvl w:val="4"/>
        <w:numId w:val="7"/>
      </w:numPr>
      <w:spacing w:before="157" w:beforeLines="50" w:after="157" w:afterLines="50"/>
      <w:jc w:val="both"/>
      <w:outlineLvl w:val="4"/>
    </w:pPr>
    <w:rPr>
      <w:rFonts w:hint="eastAsia" w:ascii="黑体" w:hAnsi="黑体" w:eastAsia="黑体" w:cs="黑体"/>
      <w:sz w:val="21"/>
      <w:lang w:val="en-US" w:eastAsia="zh-CN" w:bidi="ar-SA"/>
    </w:rPr>
  </w:style>
  <w:style w:type="paragraph" w:customStyle="1" w:styleId="77">
    <w:name w:val="标准文件_五级条标题"/>
    <w:next w:val="25"/>
    <w:qFormat/>
    <w:uiPriority w:val="0"/>
    <w:pPr>
      <w:numPr>
        <w:ilvl w:val="5"/>
        <w:numId w:val="7"/>
      </w:numPr>
      <w:spacing w:before="157" w:beforeLines="50" w:after="157" w:afterLines="50"/>
      <w:jc w:val="both"/>
      <w:outlineLvl w:val="4"/>
    </w:pPr>
    <w:rPr>
      <w:rFonts w:hint="eastAsia" w:ascii="黑体" w:hAnsi="黑体" w:eastAsia="黑体" w:cs="黑体"/>
      <w:sz w:val="21"/>
      <w:lang w:val="en-US" w:eastAsia="zh-CN" w:bidi="ar-SA"/>
    </w:rPr>
  </w:style>
  <w:style w:type="paragraph" w:customStyle="1" w:styleId="78">
    <w:name w:val="标准文件_一级无标题"/>
    <w:basedOn w:val="73"/>
    <w:qFormat/>
    <w:uiPriority w:val="0"/>
    <w:pPr>
      <w:spacing w:before="4" w:beforeLines="1" w:after="4" w:afterLines="1"/>
      <w:outlineLvl w:val="9"/>
    </w:pPr>
    <w:rPr>
      <w:rFonts w:ascii="宋体" w:hAnsi="宋体" w:eastAsia="宋体" w:cs="宋体"/>
    </w:rPr>
  </w:style>
  <w:style w:type="paragraph" w:customStyle="1" w:styleId="79">
    <w:name w:val="标准文件_二级无标题"/>
    <w:basedOn w:val="74"/>
    <w:qFormat/>
    <w:uiPriority w:val="0"/>
    <w:pPr>
      <w:spacing w:before="4" w:beforeLines="1" w:after="4" w:afterLines="1"/>
      <w:outlineLvl w:val="9"/>
    </w:pPr>
    <w:rPr>
      <w:rFonts w:ascii="宋体" w:hAnsi="宋体" w:eastAsia="宋体" w:cs="宋体"/>
    </w:rPr>
  </w:style>
  <w:style w:type="paragraph" w:customStyle="1" w:styleId="80">
    <w:name w:val="标准文件_三级无标题"/>
    <w:basedOn w:val="75"/>
    <w:qFormat/>
    <w:uiPriority w:val="0"/>
    <w:pPr>
      <w:spacing w:before="4" w:beforeLines="1" w:after="4" w:afterLines="1"/>
      <w:outlineLvl w:val="9"/>
    </w:pPr>
    <w:rPr>
      <w:rFonts w:ascii="宋体" w:hAnsi="宋体" w:eastAsia="宋体" w:cs="宋体"/>
    </w:rPr>
  </w:style>
  <w:style w:type="paragraph" w:customStyle="1" w:styleId="81">
    <w:name w:val="标准文件_四级无标题"/>
    <w:basedOn w:val="76"/>
    <w:qFormat/>
    <w:uiPriority w:val="0"/>
    <w:pPr>
      <w:spacing w:before="4" w:beforeLines="1" w:after="4" w:afterLines="1"/>
      <w:outlineLvl w:val="9"/>
    </w:pPr>
    <w:rPr>
      <w:rFonts w:ascii="宋体" w:hAnsi="宋体" w:eastAsia="宋体" w:cs="宋体"/>
    </w:rPr>
  </w:style>
  <w:style w:type="paragraph" w:customStyle="1" w:styleId="82">
    <w:name w:val="标准文件_五级无标题"/>
    <w:basedOn w:val="77"/>
    <w:qFormat/>
    <w:uiPriority w:val="0"/>
    <w:pPr>
      <w:spacing w:before="4" w:beforeLines="1" w:after="4" w:afterLines="1"/>
      <w:outlineLvl w:val="9"/>
    </w:pPr>
    <w:rPr>
      <w:rFonts w:ascii="宋体" w:hAnsi="宋体" w:eastAsia="宋体" w:cs="宋体"/>
    </w:rPr>
  </w:style>
  <w:style w:type="paragraph" w:customStyle="1" w:styleId="83">
    <w:name w:val="标准文件_术语条一"/>
    <w:basedOn w:val="78"/>
    <w:next w:val="25"/>
    <w:qFormat/>
    <w:uiPriority w:val="0"/>
    <w:pPr>
      <w:ind w:left="560" w:hanging="560" w:hangingChars="200"/>
    </w:pPr>
    <w:rPr>
      <w:rFonts w:ascii="黑体" w:hAnsi="黑体" w:eastAsia="黑体" w:cs="黑体"/>
    </w:rPr>
  </w:style>
  <w:style w:type="paragraph" w:customStyle="1" w:styleId="84">
    <w:name w:val="标准文件_术语条二"/>
    <w:basedOn w:val="79"/>
    <w:next w:val="25"/>
    <w:qFormat/>
    <w:uiPriority w:val="0"/>
    <w:pPr>
      <w:ind w:left="560" w:hanging="560" w:hangingChars="200"/>
    </w:pPr>
    <w:rPr>
      <w:rFonts w:ascii="黑体" w:hAnsi="黑体" w:eastAsia="黑体" w:cs="黑体"/>
    </w:rPr>
  </w:style>
  <w:style w:type="paragraph" w:customStyle="1" w:styleId="85">
    <w:name w:val="标准文件_术语条三"/>
    <w:basedOn w:val="80"/>
    <w:next w:val="25"/>
    <w:qFormat/>
    <w:uiPriority w:val="0"/>
    <w:pPr>
      <w:ind w:left="560" w:hanging="560" w:hangingChars="200"/>
    </w:pPr>
    <w:rPr>
      <w:rFonts w:ascii="黑体" w:hAnsi="黑体" w:eastAsia="黑体" w:cs="黑体"/>
    </w:rPr>
  </w:style>
  <w:style w:type="paragraph" w:customStyle="1" w:styleId="86">
    <w:name w:val="标准文件_术语条四"/>
    <w:basedOn w:val="81"/>
    <w:next w:val="25"/>
    <w:qFormat/>
    <w:uiPriority w:val="0"/>
    <w:pPr>
      <w:ind w:left="560" w:hanging="560" w:hangingChars="200"/>
    </w:pPr>
    <w:rPr>
      <w:rFonts w:ascii="黑体" w:hAnsi="黑体" w:eastAsia="黑体" w:cs="黑体"/>
    </w:rPr>
  </w:style>
  <w:style w:type="paragraph" w:customStyle="1" w:styleId="87">
    <w:name w:val="标准文件_术语条五"/>
    <w:basedOn w:val="82"/>
    <w:next w:val="25"/>
    <w:qFormat/>
    <w:uiPriority w:val="0"/>
    <w:pPr>
      <w:ind w:left="560" w:hanging="560" w:hangingChars="200"/>
    </w:pPr>
    <w:rPr>
      <w:rFonts w:ascii="黑体" w:hAnsi="黑体" w:eastAsia="黑体" w:cs="黑体"/>
    </w:rPr>
  </w:style>
  <w:style w:type="paragraph" w:customStyle="1" w:styleId="88">
    <w:name w:val="标准文件_附录标识"/>
    <w:basedOn w:val="1"/>
    <w:next w:val="25"/>
    <w:qFormat/>
    <w:uiPriority w:val="0"/>
    <w:pPr>
      <w:widowControl/>
      <w:numPr>
        <w:ilvl w:val="0"/>
        <w:numId w:val="8"/>
      </w:numPr>
      <w:spacing w:before="79" w:beforeLines="25" w:after="157" w:afterLines="50"/>
      <w:jc w:val="center"/>
      <w:outlineLvl w:val="0"/>
    </w:pPr>
    <w:rPr>
      <w:rFonts w:ascii="黑体" w:hAnsi="黑体" w:eastAsia="黑体" w:cs="黑体"/>
    </w:rPr>
  </w:style>
  <w:style w:type="paragraph" w:customStyle="1" w:styleId="89">
    <w:name w:val="标准文件_附录一级条标题"/>
    <w:next w:val="25"/>
    <w:qFormat/>
    <w:uiPriority w:val="0"/>
    <w:pPr>
      <w:numPr>
        <w:ilvl w:val="1"/>
        <w:numId w:val="8"/>
      </w:numPr>
      <w:spacing w:before="157" w:beforeLines="50" w:after="157" w:afterLines="50"/>
      <w:jc w:val="both"/>
      <w:outlineLvl w:val="2"/>
    </w:pPr>
    <w:rPr>
      <w:rFonts w:hint="eastAsia" w:ascii="黑体" w:hAnsi="黑体" w:eastAsia="黑体" w:cs="黑体"/>
      <w:sz w:val="21"/>
      <w:lang w:val="en-US" w:eastAsia="zh-CN" w:bidi="ar-SA"/>
    </w:rPr>
  </w:style>
  <w:style w:type="paragraph" w:customStyle="1" w:styleId="90">
    <w:name w:val="标准文件_附录二级条标题"/>
    <w:next w:val="25"/>
    <w:qFormat/>
    <w:uiPriority w:val="0"/>
    <w:pPr>
      <w:numPr>
        <w:ilvl w:val="2"/>
        <w:numId w:val="8"/>
      </w:numPr>
      <w:spacing w:before="157" w:beforeLines="50" w:after="157" w:afterLines="50"/>
      <w:jc w:val="both"/>
      <w:outlineLvl w:val="2"/>
    </w:pPr>
    <w:rPr>
      <w:rFonts w:hint="eastAsia" w:ascii="黑体" w:hAnsi="黑体" w:eastAsia="黑体" w:cs="黑体"/>
      <w:sz w:val="21"/>
      <w:lang w:val="en-US" w:eastAsia="zh-CN" w:bidi="ar-SA"/>
    </w:rPr>
  </w:style>
  <w:style w:type="paragraph" w:customStyle="1" w:styleId="91">
    <w:name w:val="标准文件_附录三级条标题"/>
    <w:next w:val="25"/>
    <w:qFormat/>
    <w:uiPriority w:val="0"/>
    <w:pPr>
      <w:numPr>
        <w:ilvl w:val="3"/>
        <w:numId w:val="8"/>
      </w:numPr>
      <w:spacing w:before="157" w:beforeLines="50" w:after="157" w:afterLines="50"/>
      <w:jc w:val="both"/>
      <w:outlineLvl w:val="2"/>
    </w:pPr>
    <w:rPr>
      <w:rFonts w:hint="eastAsia" w:ascii="黑体" w:hAnsi="黑体" w:eastAsia="黑体" w:cs="黑体"/>
      <w:sz w:val="21"/>
      <w:lang w:val="en-US" w:eastAsia="zh-CN" w:bidi="ar-SA"/>
    </w:rPr>
  </w:style>
  <w:style w:type="paragraph" w:customStyle="1" w:styleId="92">
    <w:name w:val="标准文件_附录四级条标题"/>
    <w:next w:val="25"/>
    <w:qFormat/>
    <w:uiPriority w:val="0"/>
    <w:pPr>
      <w:numPr>
        <w:ilvl w:val="4"/>
        <w:numId w:val="8"/>
      </w:numPr>
      <w:spacing w:before="157" w:beforeLines="50" w:after="157" w:afterLines="50"/>
      <w:jc w:val="both"/>
      <w:outlineLvl w:val="2"/>
    </w:pPr>
    <w:rPr>
      <w:rFonts w:hint="eastAsia" w:ascii="黑体" w:hAnsi="黑体" w:eastAsia="黑体" w:cs="黑体"/>
      <w:sz w:val="21"/>
      <w:lang w:val="en-US" w:eastAsia="zh-CN" w:bidi="ar-SA"/>
    </w:rPr>
  </w:style>
  <w:style w:type="paragraph" w:customStyle="1" w:styleId="93">
    <w:name w:val="标准文件_附录五级条标题"/>
    <w:next w:val="25"/>
    <w:qFormat/>
    <w:uiPriority w:val="0"/>
    <w:pPr>
      <w:numPr>
        <w:ilvl w:val="5"/>
        <w:numId w:val="8"/>
      </w:numPr>
      <w:spacing w:before="157" w:beforeLines="50" w:after="157" w:afterLines="50"/>
      <w:jc w:val="both"/>
      <w:outlineLvl w:val="2"/>
    </w:pPr>
    <w:rPr>
      <w:rFonts w:hint="eastAsia" w:ascii="黑体" w:hAnsi="黑体" w:eastAsia="黑体" w:cs="黑体"/>
      <w:sz w:val="21"/>
      <w:lang w:val="en-US" w:eastAsia="zh-CN" w:bidi="ar-SA"/>
    </w:rPr>
  </w:style>
  <w:style w:type="paragraph" w:customStyle="1" w:styleId="94">
    <w:name w:val="标准文件_附录一级无标题"/>
    <w:basedOn w:val="89"/>
    <w:qFormat/>
    <w:uiPriority w:val="0"/>
    <w:pPr>
      <w:spacing w:before="4" w:beforeLines="1" w:after="4" w:afterLines="1" w:line="276" w:lineRule="auto"/>
    </w:pPr>
    <w:rPr>
      <w:rFonts w:ascii="宋体" w:hAnsi="宋体" w:eastAsia="宋体" w:cs="宋体"/>
    </w:rPr>
  </w:style>
  <w:style w:type="paragraph" w:customStyle="1" w:styleId="95">
    <w:name w:val="标准文件_附录二级无标题"/>
    <w:basedOn w:val="90"/>
    <w:qFormat/>
    <w:uiPriority w:val="0"/>
    <w:pPr>
      <w:spacing w:before="4" w:beforeLines="1" w:after="4" w:afterLines="1" w:line="276" w:lineRule="auto"/>
    </w:pPr>
    <w:rPr>
      <w:rFonts w:ascii="宋体" w:hAnsi="宋体" w:eastAsia="宋体" w:cs="宋体"/>
    </w:rPr>
  </w:style>
  <w:style w:type="paragraph" w:customStyle="1" w:styleId="96">
    <w:name w:val="标准文件_附录三级无标题"/>
    <w:basedOn w:val="91"/>
    <w:qFormat/>
    <w:uiPriority w:val="0"/>
    <w:pPr>
      <w:spacing w:before="4" w:beforeLines="1" w:after="4" w:afterLines="1" w:line="276" w:lineRule="auto"/>
    </w:pPr>
    <w:rPr>
      <w:rFonts w:ascii="宋体" w:hAnsi="宋体" w:eastAsia="宋体" w:cs="宋体"/>
    </w:rPr>
  </w:style>
  <w:style w:type="paragraph" w:customStyle="1" w:styleId="97">
    <w:name w:val="标准文件_附录四级无标题"/>
    <w:basedOn w:val="92"/>
    <w:qFormat/>
    <w:uiPriority w:val="0"/>
    <w:pPr>
      <w:spacing w:before="4" w:beforeLines="1" w:after="4" w:afterLines="1" w:line="276" w:lineRule="auto"/>
    </w:pPr>
    <w:rPr>
      <w:rFonts w:ascii="宋体" w:hAnsi="宋体" w:eastAsia="宋体" w:cs="宋体"/>
    </w:rPr>
  </w:style>
  <w:style w:type="paragraph" w:customStyle="1" w:styleId="98">
    <w:name w:val="标准文件_附录五级无标题"/>
    <w:basedOn w:val="93"/>
    <w:qFormat/>
    <w:uiPriority w:val="0"/>
    <w:pPr>
      <w:spacing w:before="4" w:beforeLines="1" w:after="4" w:afterLines="1" w:line="276" w:lineRule="auto"/>
    </w:pPr>
    <w:rPr>
      <w:rFonts w:ascii="宋体" w:hAnsi="宋体" w:eastAsia="宋体" w:cs="宋体"/>
    </w:rPr>
  </w:style>
  <w:style w:type="paragraph" w:customStyle="1" w:styleId="99">
    <w:name w:val="附录图标号"/>
    <w:basedOn w:val="25"/>
    <w:next w:val="25"/>
    <w:qFormat/>
    <w:uiPriority w:val="0"/>
    <w:pPr>
      <w:numPr>
        <w:ilvl w:val="0"/>
        <w:numId w:val="2"/>
      </w:numPr>
      <w:spacing w:line="14" w:lineRule="exact"/>
      <w:jc w:val="center"/>
    </w:pPr>
    <w:rPr>
      <w:sz w:val="2"/>
    </w:rPr>
  </w:style>
  <w:style w:type="paragraph" w:customStyle="1" w:styleId="100">
    <w:name w:val="附录图标题"/>
    <w:next w:val="25"/>
    <w:qFormat/>
    <w:uiPriority w:val="0"/>
    <w:pPr>
      <w:numPr>
        <w:ilvl w:val="1"/>
        <w:numId w:val="2"/>
      </w:numPr>
      <w:spacing w:before="157" w:beforeLines="50" w:after="157" w:afterLines="50"/>
      <w:jc w:val="center"/>
    </w:pPr>
    <w:rPr>
      <w:rFonts w:hint="eastAsia" w:ascii="黑体" w:hAnsi="黑体" w:eastAsia="黑体" w:cs="黑体"/>
      <w:sz w:val="21"/>
      <w:lang w:val="en-US" w:eastAsia="zh-CN" w:bidi="ar-SA"/>
    </w:rPr>
  </w:style>
  <w:style w:type="paragraph" w:customStyle="1" w:styleId="101">
    <w:name w:val="附录表标号"/>
    <w:basedOn w:val="25"/>
    <w:next w:val="25"/>
    <w:qFormat/>
    <w:uiPriority w:val="0"/>
    <w:pPr>
      <w:numPr>
        <w:ilvl w:val="0"/>
        <w:numId w:val="9"/>
      </w:numPr>
      <w:spacing w:line="14" w:lineRule="exact"/>
      <w:jc w:val="center"/>
    </w:pPr>
    <w:rPr>
      <w:sz w:val="2"/>
    </w:rPr>
  </w:style>
  <w:style w:type="paragraph" w:customStyle="1" w:styleId="102">
    <w:name w:val="附录表标题"/>
    <w:next w:val="25"/>
    <w:qFormat/>
    <w:uiPriority w:val="0"/>
    <w:pPr>
      <w:numPr>
        <w:ilvl w:val="1"/>
        <w:numId w:val="9"/>
      </w:numPr>
      <w:spacing w:before="157" w:beforeLines="50" w:after="157" w:afterLines="50"/>
      <w:jc w:val="center"/>
    </w:pPr>
    <w:rPr>
      <w:rFonts w:hint="eastAsia" w:ascii="黑体" w:hAnsi="黑体" w:eastAsia="黑体" w:cs="黑体"/>
      <w:sz w:val="21"/>
      <w:lang w:val="en-US" w:eastAsia="zh-CN" w:bidi="ar-SA"/>
    </w:rPr>
  </w:style>
  <w:style w:type="paragraph" w:customStyle="1" w:styleId="103">
    <w:name w:val="标准文件_示例内容"/>
    <w:basedOn w:val="25"/>
    <w:qFormat/>
    <w:uiPriority w:val="0"/>
    <w:rPr>
      <w:rFonts w:hAnsi="宋体"/>
      <w:sz w:val="18"/>
    </w:rPr>
  </w:style>
  <w:style w:type="paragraph" w:customStyle="1" w:styleId="104">
    <w:name w:val="标准文件_示例"/>
    <w:next w:val="103"/>
    <w:qFormat/>
    <w:uiPriority w:val="0"/>
    <w:pPr>
      <w:numPr>
        <w:ilvl w:val="0"/>
        <w:numId w:val="10"/>
      </w:numPr>
      <w:jc w:val="both"/>
    </w:pPr>
    <w:rPr>
      <w:rFonts w:hint="eastAsia" w:ascii="宋体" w:hAnsi="宋体" w:eastAsia="宋体" w:cs="宋体"/>
      <w:sz w:val="18"/>
      <w:lang w:val="en-US" w:eastAsia="zh-CN" w:bidi="ar-SA"/>
    </w:rPr>
  </w:style>
  <w:style w:type="paragraph" w:customStyle="1" w:styleId="105">
    <w:name w:val="标准文件_示例×"/>
    <w:basedOn w:val="1"/>
    <w:next w:val="103"/>
    <w:qFormat/>
    <w:uiPriority w:val="0"/>
    <w:pPr>
      <w:widowControl/>
      <w:numPr>
        <w:ilvl w:val="0"/>
        <w:numId w:val="11"/>
      </w:numPr>
      <w:tabs>
        <w:tab w:val="left" w:pos="539"/>
      </w:tabs>
    </w:pPr>
    <w:rPr>
      <w:sz w:val="18"/>
    </w:rPr>
  </w:style>
  <w:style w:type="paragraph" w:customStyle="1" w:styleId="106">
    <w:name w:val="标准文件_注"/>
    <w:next w:val="25"/>
    <w:qFormat/>
    <w:uiPriority w:val="0"/>
    <w:pPr>
      <w:numPr>
        <w:ilvl w:val="0"/>
        <w:numId w:val="12"/>
      </w:numPr>
      <w:autoSpaceDE w:val="0"/>
      <w:autoSpaceDN w:val="0"/>
      <w:jc w:val="both"/>
    </w:pPr>
    <w:rPr>
      <w:rFonts w:hint="eastAsia" w:ascii="宋体" w:hAnsi="宋体" w:eastAsia="宋体" w:cs="宋体"/>
      <w:sz w:val="18"/>
      <w:lang w:val="en-US" w:eastAsia="zh-CN" w:bidi="ar-SA"/>
    </w:rPr>
  </w:style>
  <w:style w:type="paragraph" w:customStyle="1" w:styleId="107">
    <w:name w:val="标准文件_注×"/>
    <w:next w:val="25"/>
    <w:qFormat/>
    <w:uiPriority w:val="0"/>
    <w:pPr>
      <w:numPr>
        <w:ilvl w:val="0"/>
        <w:numId w:val="13"/>
      </w:numPr>
      <w:jc w:val="both"/>
    </w:pPr>
    <w:rPr>
      <w:rFonts w:hint="eastAsia" w:ascii="宋体" w:hAnsi="宋体" w:eastAsia="宋体" w:cs="宋体"/>
      <w:sz w:val="18"/>
      <w:lang w:val="en-US" w:eastAsia="zh-CN" w:bidi="ar-SA"/>
    </w:rPr>
  </w:style>
  <w:style w:type="paragraph" w:customStyle="1" w:styleId="108">
    <w:name w:val="标准文件_图表脚注"/>
    <w:basedOn w:val="1"/>
    <w:next w:val="25"/>
    <w:qFormat/>
    <w:uiPriority w:val="0"/>
    <w:pPr>
      <w:numPr>
        <w:ilvl w:val="0"/>
        <w:numId w:val="14"/>
      </w:numPr>
      <w:adjustRightInd w:val="0"/>
      <w:jc w:val="left"/>
    </w:pPr>
    <w:rPr>
      <w:rFonts w:hAnsi="宋体"/>
      <w:sz w:val="18"/>
    </w:rPr>
  </w:style>
  <w:style w:type="paragraph" w:customStyle="1" w:styleId="109">
    <w:name w:val="标准文件_标准正文"/>
    <w:basedOn w:val="1"/>
    <w:next w:val="25"/>
    <w:qFormat/>
    <w:uiPriority w:val="0"/>
    <w:pPr>
      <w:ind w:firstLine="560" w:firstLineChars="200"/>
    </w:pPr>
  </w:style>
  <w:style w:type="paragraph" w:customStyle="1" w:styleId="110">
    <w:name w:val="标准文件_正文公式"/>
    <w:basedOn w:val="1"/>
    <w:next w:val="109"/>
    <w:qFormat/>
    <w:uiPriority w:val="0"/>
    <w:pPr>
      <w:tabs>
        <w:tab w:val="center" w:pos="4678"/>
        <w:tab w:val="right" w:leader="middleDot" w:pos="9355"/>
      </w:tabs>
    </w:pPr>
  </w:style>
  <w:style w:type="paragraph" w:customStyle="1" w:styleId="111">
    <w:name w:val="标准文件_表格"/>
    <w:basedOn w:val="25"/>
    <w:qFormat/>
    <w:uiPriority w:val="0"/>
    <w:pPr>
      <w:jc w:val="center"/>
    </w:pPr>
    <w:rPr>
      <w:sz w:val="18"/>
    </w:rPr>
  </w:style>
  <w:style w:type="paragraph" w:customStyle="1" w:styleId="112">
    <w:name w:val="终结线"/>
    <w:basedOn w:val="1"/>
    <w:qFormat/>
    <w:uiPriority w:val="0"/>
    <w:pPr>
      <w:framePr w:hSpace="181" w:vSpace="181" w:wrap="around" w:vAnchor="text" w:hAnchor="margin" w:xAlign="center" w:y="285"/>
    </w:pPr>
    <w:rPr>
      <w:rFonts w:ascii="Times New Roman" w:cs="Times New Roman"/>
      <w:b/>
      <w:sz w:val="34"/>
    </w:rPr>
  </w:style>
  <w:style w:type="paragraph" w:customStyle="1" w:styleId="113">
    <w:name w:val="标准文件_正文表标题"/>
    <w:next w:val="25"/>
    <w:qFormat/>
    <w:uiPriority w:val="0"/>
    <w:pPr>
      <w:numPr>
        <w:ilvl w:val="0"/>
        <w:numId w:val="15"/>
      </w:numPr>
      <w:spacing w:before="157" w:beforeLines="50" w:after="157" w:afterLines="50"/>
      <w:jc w:val="center"/>
    </w:pPr>
    <w:rPr>
      <w:rFonts w:hint="eastAsia" w:ascii="黑体" w:hAnsi="黑体" w:eastAsia="黑体" w:cs="黑体"/>
      <w:sz w:val="21"/>
      <w:lang w:val="en-US" w:eastAsia="zh-CN" w:bidi="ar-SA"/>
    </w:rPr>
  </w:style>
  <w:style w:type="paragraph" w:customStyle="1" w:styleId="114">
    <w:name w:val="标准文件_正文图标题"/>
    <w:next w:val="25"/>
    <w:qFormat/>
    <w:uiPriority w:val="0"/>
    <w:pPr>
      <w:numPr>
        <w:ilvl w:val="0"/>
        <w:numId w:val="16"/>
      </w:numPr>
      <w:spacing w:before="157" w:beforeLines="50" w:after="157" w:afterLines="50"/>
      <w:jc w:val="center"/>
    </w:pPr>
    <w:rPr>
      <w:rFonts w:hint="eastAsia" w:ascii="黑体" w:hAnsi="黑体" w:eastAsia="黑体" w:cs="黑体"/>
      <w:sz w:val="21"/>
      <w:lang w:val="en-US" w:eastAsia="zh-CN" w:bidi="ar-SA"/>
    </w:rPr>
  </w:style>
  <w:style w:type="paragraph" w:customStyle="1" w:styleId="115">
    <w:name w:val="标准文件_索引标题"/>
    <w:basedOn w:val="34"/>
    <w:next w:val="25"/>
    <w:qFormat/>
    <w:uiPriority w:val="0"/>
    <w:rPr>
      <w:rFonts w:hAnsi="黑体"/>
    </w:rPr>
  </w:style>
  <w:style w:type="paragraph" w:customStyle="1" w:styleId="116">
    <w:name w:val="标准文件_索引项"/>
    <w:basedOn w:val="25"/>
    <w:next w:val="25"/>
    <w:qFormat/>
    <w:uiPriority w:val="0"/>
    <w:pPr>
      <w:tabs>
        <w:tab w:val="right" w:leader="dot" w:pos="9355"/>
      </w:tabs>
      <w:autoSpaceDE w:val="0"/>
      <w:autoSpaceDN w:val="0"/>
      <w:ind w:left="103" w:hanging="103" w:hangingChars="37"/>
      <w:jc w:val="left"/>
    </w:pPr>
  </w:style>
  <w:style w:type="paragraph" w:customStyle="1" w:styleId="117">
    <w:name w:val="标准文件_索引字母"/>
    <w:next w:val="25"/>
    <w:qFormat/>
    <w:uiPriority w:val="0"/>
    <w:pPr>
      <w:jc w:val="center"/>
    </w:pPr>
    <w:rPr>
      <w:rFonts w:hint="eastAsia" w:ascii="宋体" w:hAnsi="宋体" w:eastAsia="宋体" w:cs="宋体"/>
      <w:b/>
      <w:kern w:val="2"/>
      <w:sz w:val="21"/>
      <w:lang w:val="en-US" w:eastAsia="zh-CN" w:bidi="ar-SA"/>
    </w:rPr>
  </w:style>
  <w:style w:type="paragraph" w:customStyle="1" w:styleId="118">
    <w:name w:val="标准文件_提示"/>
    <w:basedOn w:val="1"/>
    <w:qFormat/>
    <w:uiPriority w:val="0"/>
    <w:pPr>
      <w:ind w:firstLine="560" w:firstLineChars="200"/>
    </w:pPr>
    <w:rPr>
      <w:rFonts w:ascii="黑体" w:hAnsi="黑体" w:eastAsia="黑体" w:cs="黑体"/>
    </w:rPr>
  </w:style>
  <w:style w:type="paragraph" w:customStyle="1" w:styleId="119">
    <w:name w:val="标准文件_参考文献编号"/>
    <w:basedOn w:val="25"/>
    <w:qFormat/>
    <w:uiPriority w:val="0"/>
    <w:pPr>
      <w:numPr>
        <w:ilvl w:val="0"/>
        <w:numId w:val="17"/>
      </w:numPr>
    </w:pPr>
  </w:style>
  <w:style w:type="character" w:customStyle="1" w:styleId="120">
    <w:name w:val="标准文件_正文标准名称 Char"/>
    <w:link w:val="56"/>
    <w:qFormat/>
    <w:uiPriority w:val="0"/>
    <w:rPr>
      <w:rFonts w:ascii="黑体" w:hAnsi="黑体" w:eastAsia="黑体" w:cs="黑体"/>
      <w:sz w:val="32"/>
    </w:rPr>
  </w:style>
  <w:style w:type="paragraph" w:customStyle="1" w:styleId="121">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908bc42-d7f9-4f9b-8721-7683c94680ba}"/>
        <w:style w:val=""/>
        <w:category>
          <w:name w:val="常规"/>
          <w:gallery w:val="placeholder"/>
        </w:category>
        <w:types>
          <w:type w:val="bbPlcHdr"/>
        </w:types>
        <w:behaviors>
          <w:behavior w:val="content"/>
        </w:behaviors>
        <w:description w:val=""/>
        <w:guid w:val="{9908BC42-D7F9-4F9B-8721-7683C94680BA}"/>
      </w:docPartPr>
      <w:docPartBody>
        <w:p w14:paraId="41EAF447">
          <w:pPr>
            <w:rPr>
              <w:rFonts w:hint="eastAsia"/>
            </w:rPr>
          </w:pPr>
          <w:r>
            <w:rPr>
              <w:color w:val="808080"/>
            </w:rPr>
            <w:t>选择一项。</w:t>
          </w:r>
        </w:p>
      </w:docPartBody>
    </w:docPart>
    <w:docPart>
      <w:docPartPr>
        <w:name w:val="{f28ed9ec-b36a-4f31-a22a-50397141ca4c}"/>
        <w:style w:val=""/>
        <w:category>
          <w:name w:val="常规"/>
          <w:gallery w:val="placeholder"/>
        </w:category>
        <w:types>
          <w:type w:val="bbPlcHdr"/>
        </w:types>
        <w:behaviors>
          <w:behavior w:val="content"/>
        </w:behaviors>
        <w:description w:val=""/>
        <w:guid w:val="{F28ED9EC-B36A-4F31-A22A-50397141CA4C}"/>
      </w:docPartPr>
      <w:docPartBody>
        <w:p w14:paraId="1259F3BC">
          <w:pPr>
            <w:rPr>
              <w:rFonts w:hint="eastAsia"/>
            </w:rPr>
          </w:pPr>
          <w:r>
            <w:rPr>
              <w:color w:val="808080"/>
            </w:rPr>
            <w:t>选择一项。</w:t>
          </w:r>
        </w:p>
      </w:docPartBody>
    </w:docPart>
    <w:docPart>
      <w:docPartPr>
        <w:name w:val="{4eb710dd-4ab7-4dda-b46a-610e444cd7ff}"/>
        <w:style w:val=""/>
        <w:category>
          <w:name w:val="常规"/>
          <w:gallery w:val="placeholder"/>
        </w:category>
        <w:types>
          <w:type w:val="bbPlcHdr"/>
        </w:types>
        <w:behaviors>
          <w:behavior w:val="content"/>
        </w:behaviors>
        <w:description w:val=""/>
        <w:guid w:val="{4EB710DD-4AB7-4DDA-B46A-610E444CD7FF}"/>
      </w:docPartPr>
      <w:docPartBody>
        <w:p w14:paraId="361DDF0A">
          <w:pPr>
            <w:rPr>
              <w:rFonts w:hint="eastAsia"/>
            </w:rPr>
          </w:pPr>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086164"/>
    <w:rsid w:val="00086164"/>
    <w:rsid w:val="00143AFA"/>
    <w:rsid w:val="00BC1E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atentStyles>
  <w:style w:type="paragraph" w:default="1" w:styleId="1">
    <w:name w:val="Normal"/>
    <w:qFormat/>
    <w:uiPriority w:val="0"/>
    <w:pPr>
      <w:widowControl w:val="0"/>
    </w:pPr>
    <w:rPr>
      <w:rFonts w:asciiTheme="minorHAnsi" w:hAnsiTheme="minorHAnsi" w:eastAsiaTheme="minorEastAsia" w:cstheme="minorBidi"/>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2301</Words>
  <Characters>2926</Characters>
  <Lines>230</Lines>
  <Paragraphs>310</Paragraphs>
  <TotalTime>1</TotalTime>
  <ScaleCrop>false</ScaleCrop>
  <LinksUpToDate>false</LinksUpToDate>
  <CharactersWithSpaces>3183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2026-02-13T12:05:00Z</dcterms:created>
  <dc:creator>Joker</dc:creator>
  <cp:lastModifiedBy>大牛</cp:lastModifiedBy>
  <dcterms:modified xsi:type="dcterms:W3CDTF">2026-10-10T04:58:42Z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273AD3A45BFFFB518D05856AA746CD53_43</vt:lpwstr>
  </property>
  <property fmtid="{D5CDD505-2E9C-101B-9397-08002B2CF9AE}" pid="4" name="KSOTemplateDocerSaveRecord">
    <vt:lpwstr>eyJoZGlkIjoiN2YzNjBkOTgyNWQ1YTMxYzM3MzMwNWFiODNmOWIzYWMiLCJ1c2VySWQiOiIzOTkwNDU0NTgifQ==</vt:lpwstr>
  </property>
</Properties>
</file>