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06665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046E47EE">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bookmarkStart w:id="46" w:name="_GoBack"/>
            <w:bookmarkEnd w:id="46"/>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15CA2126">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67.060</w:t>
            </w:r>
            <w:r>
              <w:rPr>
                <w:rFonts w:ascii="黑体" w:hAnsi="黑体" w:eastAsia="黑体"/>
                <w:sz w:val="21"/>
                <w:szCs w:val="21"/>
              </w:rPr>
              <w:fldChar w:fldCharType="end"/>
            </w:r>
            <w:bookmarkEnd w:id="0"/>
          </w:p>
        </w:tc>
      </w:tr>
      <w:tr w14:paraId="1215F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03CDCAF">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30"/>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2580CC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59EAF333">
                  <w:pPr>
                    <w:pStyle w:val="53"/>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t>LNSLX</w:t>
                  </w:r>
                  <w:r>
                    <w:fldChar w:fldCharType="end"/>
                  </w:r>
                  <w:bookmarkEnd w:id="1"/>
                </w:p>
              </w:tc>
            </w:tr>
          </w:tbl>
          <w:p w14:paraId="5928ECEC">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B 22</w:t>
            </w:r>
            <w:r>
              <w:rPr>
                <w:rFonts w:ascii="黑体" w:hAnsi="黑体" w:eastAsia="黑体"/>
                <w:sz w:val="21"/>
                <w:szCs w:val="21"/>
              </w:rPr>
              <w:fldChar w:fldCharType="end"/>
            </w:r>
            <w:bookmarkEnd w:id="2"/>
          </w:p>
        </w:tc>
      </w:tr>
    </w:tbl>
    <w:p w14:paraId="6FC95917">
      <w:pPr>
        <w:pStyle w:val="54"/>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辽宁省粮食行业协会</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1A6BA864">
      <w:pPr>
        <w:pStyle w:val="199"/>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t>LNSLX</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0</w:t>
      </w:r>
      <w:r>
        <w:rPr>
          <w:rFonts w:hint="eastAsia"/>
        </w:rPr>
        <w:t>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202</w:t>
      </w:r>
      <w:r>
        <w:rPr>
          <w:rFonts w:hint="eastAsia"/>
        </w:rPr>
        <w:t>6</w:t>
      </w:r>
      <w:r>
        <w:fldChar w:fldCharType="end"/>
      </w:r>
      <w:bookmarkEnd w:id="7"/>
    </w:p>
    <w:p w14:paraId="2F27C07F">
      <w:pPr>
        <w:pStyle w:val="200"/>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23109C82">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73"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4NJ&#10;ltgAAAAMAQAADwAAAAAAAAABACAAAAAiAAAAZHJzL2Rvd25yZXYueG1sUEsBAhQAFAAAAAgAh07i&#10;QDYFZrDpAQAAuQMAAA4AAAAAAAAAAQAgAAAAJwEAAGRycy9lMm9Eb2MueG1sUEsFBgAAAAAGAAYA&#10;WQEAAIIFAAAAAA==&#10;">
                <v:fill on="f" focussize="0,0"/>
                <v:stroke color="#000000" joinstyle="round"/>
                <v:imagedata o:title=""/>
                <o:lock v:ext="edit" aspectratio="f"/>
              </v:line>
            </w:pict>
          </mc:Fallback>
        </mc:AlternateContent>
      </w:r>
    </w:p>
    <w:p w14:paraId="4F50EEEF">
      <w:pPr>
        <w:pStyle w:val="54"/>
        <w:framePr w:w="9639" w:h="6976" w:hRule="exact" w:hSpace="0" w:vSpace="0" w:wrap="around" w:hAnchor="page" w:y="6408"/>
        <w:jc w:val="center"/>
        <w:rPr>
          <w:rFonts w:hint="eastAsia" w:ascii="黑体" w:hAnsi="黑体" w:eastAsia="黑体"/>
          <w:b w:val="0"/>
          <w:bCs w:val="0"/>
          <w:w w:val="100"/>
        </w:rPr>
      </w:pPr>
    </w:p>
    <w:p w14:paraId="6EEB1A24">
      <w:pPr>
        <w:pStyle w:val="201"/>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 xml:space="preserve">辽宁好粮油  </w:t>
      </w:r>
      <w:r>
        <w:rPr>
          <w:rFonts w:hint="eastAsia"/>
        </w:rPr>
        <w:t>混合全谷物米</w:t>
      </w:r>
      <w:r>
        <w:fldChar w:fldCharType="end"/>
      </w:r>
      <w:bookmarkEnd w:id="9"/>
    </w:p>
    <w:p w14:paraId="4C56D6AE">
      <w:pPr>
        <w:framePr w:w="9639" w:h="6974" w:hRule="exact" w:wrap="around" w:vAnchor="page" w:hAnchor="page" w:x="1419" w:y="6408" w:anchorLock="1"/>
        <w:ind w:left="-1418"/>
      </w:pPr>
    </w:p>
    <w:p w14:paraId="3A76B7F0">
      <w:pPr>
        <w:pStyle w:val="129"/>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eastAsia="黑体"/>
          <w:szCs w:val="28"/>
        </w:rPr>
        <w:t>Liaoning good grain ＆</w:t>
      </w:r>
      <w:r>
        <w:rPr>
          <w:rFonts w:hint="eastAsia" w:eastAsia="黑体"/>
          <w:szCs w:val="28"/>
        </w:rPr>
        <w:t>oil  Formulated whole‑grain blended rice</w:t>
      </w:r>
      <w:r>
        <w:rPr>
          <w:rFonts w:eastAsia="黑体"/>
          <w:szCs w:val="28"/>
        </w:rPr>
        <w:fldChar w:fldCharType="end"/>
      </w:r>
      <w:bookmarkEnd w:id="10"/>
    </w:p>
    <w:p w14:paraId="777B4D26">
      <w:pPr>
        <w:framePr w:w="9639" w:h="6974" w:hRule="exact" w:wrap="around" w:vAnchor="page" w:hAnchor="page" w:x="1419" w:y="6408" w:anchorLock="1"/>
        <w:spacing w:line="760" w:lineRule="exact"/>
        <w:ind w:left="-1418"/>
      </w:pPr>
    </w:p>
    <w:p w14:paraId="504B9846">
      <w:pPr>
        <w:pStyle w:val="129"/>
        <w:framePr w:w="9639" w:h="6974" w:hRule="exact" w:wrap="around" w:vAnchor="page" w:hAnchor="page" w:x="1419" w:y="6408" w:anchorLock="1"/>
        <w:textAlignment w:val="bottom"/>
        <w:rPr>
          <w:rFonts w:eastAsia="黑体"/>
          <w:szCs w:val="28"/>
        </w:rPr>
      </w:pPr>
    </w:p>
    <w:p w14:paraId="7F1D9DCD">
      <w:pPr>
        <w:pStyle w:val="12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2E3BC2A7">
      <w:pPr>
        <w:pStyle w:val="12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45A739D7">
      <w:pPr>
        <w:pStyle w:val="129"/>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3B62B749">
      <w:pPr>
        <w:pStyle w:val="197"/>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202</w:t>
      </w:r>
      <w:r>
        <w:rPr>
          <w:rFonts w:hint="eastAsia" w:ascii="黑体"/>
        </w:rPr>
        <w:t>6</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551E3E9D">
      <w:pPr>
        <w:pStyle w:val="198"/>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202</w:t>
      </w:r>
      <w:r>
        <w:rPr>
          <w:rFonts w:hint="eastAsia" w:ascii="黑体"/>
        </w:rPr>
        <w:t>6</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0454F7BD">
      <w:pPr>
        <w:pStyle w:val="155"/>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辽宁省粮食行业协会</w:t>
      </w:r>
      <w:r>
        <w:rPr>
          <w:rFonts w:hAnsi="黑体"/>
          <w:w w:val="100"/>
          <w:sz w:val="28"/>
        </w:rPr>
        <w:fldChar w:fldCharType="end"/>
      </w:r>
      <w:bookmarkEnd w:id="20"/>
      <w:r>
        <w:rPr>
          <w:rFonts w:ascii="Times New Roman"/>
          <w:w w:val="100"/>
          <w:sz w:val="28"/>
        </w:rPr>
        <w:t>  </w:t>
      </w:r>
      <w:r>
        <w:rPr>
          <w:rStyle w:val="233"/>
          <w:rFonts w:hint="eastAsia" w:hAnsi="黑体"/>
          <w:position w:val="0"/>
        </w:rPr>
        <w:t>发</w:t>
      </w:r>
      <w:r>
        <w:rPr>
          <w:rStyle w:val="233"/>
          <w:rFonts w:hint="eastAsia" w:hAnsi="黑体"/>
          <w:spacing w:val="0"/>
          <w:position w:val="0"/>
        </w:rPr>
        <w:t>布</w:t>
      </w:r>
    </w:p>
    <w:p w14:paraId="4AB0B3F3">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4445" r="0" b="5080"/>
                <wp:wrapNone/>
                <wp:docPr id="4"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5"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szHPvX&#10;AAAADgEAAA8AAAAAAAAAAQAgAAAAIgAAAGRycy9kb3ducmV2LnhtbFBLAQIUABQAAAAIAIdO4kBS&#10;jbbN6AEAALgDAAAOAAAAAAAAAAEAIAAAACYBAABkcnMvZTJvRG9jLnhtbFBLBQYAAAAABgAGAFkB&#10;AACABQAAAAA=&#10;">
                <v:fill on="f" focussize="0,0"/>
                <v:stroke color="#000000" joinstyle="round"/>
                <v:imagedata o:title=""/>
                <o:lock v:ext="edit" aspectratio="f"/>
                <w10:anchorlock/>
              </v:line>
            </w:pict>
          </mc:Fallback>
        </mc:AlternateContent>
      </w:r>
    </w:p>
    <w:p w14:paraId="77F44425">
      <w:pPr>
        <w:pStyle w:val="93"/>
        <w:spacing w:before="900" w:after="360"/>
      </w:pPr>
      <w:bookmarkStart w:id="21" w:name="BookMark2"/>
      <w:r>
        <w:rPr>
          <w:spacing w:val="320"/>
        </w:rPr>
        <w:t>前</w:t>
      </w:r>
      <w:r>
        <w:t>言</w:t>
      </w:r>
    </w:p>
    <w:p w14:paraId="70E73B98">
      <w:pPr>
        <w:pStyle w:val="60"/>
        <w:ind w:firstLine="420"/>
        <w:rPr>
          <w:rFonts w:ascii="Times New Roman"/>
        </w:rPr>
      </w:pPr>
      <w:r>
        <w:rPr>
          <w:rFonts w:hint="eastAsia"/>
        </w:rPr>
        <w:t>本文件按照</w:t>
      </w:r>
      <w:r>
        <w:rPr>
          <w:rFonts w:hint="eastAsia" w:ascii="Times New Roman"/>
        </w:rPr>
        <w:t>GB</w:t>
      </w:r>
      <w:r>
        <w:rPr>
          <w:rFonts w:ascii="Times New Roman"/>
        </w:rPr>
        <w:t>/T 1.1—2020《标准化工作导则  第1部分：标准化文件的结构和起草规则》的规定起草。</w:t>
      </w:r>
    </w:p>
    <w:p w14:paraId="71E635AB">
      <w:pPr>
        <w:pStyle w:val="234"/>
      </w:pPr>
      <w:r>
        <w:rPr>
          <w:rFonts w:hint="eastAsia"/>
        </w:rPr>
        <w:t>请注意本文件的某些内容可能涉及专利。本文件的发布机构不承担识别专利的责任。</w:t>
      </w:r>
    </w:p>
    <w:p w14:paraId="27A5E047">
      <w:pPr>
        <w:pStyle w:val="60"/>
        <w:ind w:firstLine="420"/>
      </w:pPr>
      <w:r>
        <w:rPr>
          <w:rFonts w:hint="eastAsia"/>
        </w:rPr>
        <w:t>本文件由辽宁省粮食行业协会提出并归口。</w:t>
      </w:r>
    </w:p>
    <w:p w14:paraId="2199C0B6">
      <w:pPr>
        <w:pStyle w:val="60"/>
        <w:ind w:firstLine="420"/>
        <w:rPr>
          <w:highlight w:val="yellow"/>
        </w:rPr>
      </w:pPr>
      <w:r>
        <w:rPr>
          <w:rFonts w:hint="eastAsia"/>
        </w:rPr>
        <w:t>本文件起草单位：辽宁省粮食行业协会、</w:t>
      </w:r>
      <w:r>
        <w:rPr>
          <w:rFonts w:hint="eastAsia"/>
          <w:highlight w:val="yellow"/>
        </w:rPr>
        <w:t>XXXXXXXXXXXXXXXXXXXXXXXXX</w:t>
      </w:r>
      <w:r>
        <w:rPr>
          <w:rFonts w:hint="eastAsia"/>
        </w:rPr>
        <w:t xml:space="preserve"> </w:t>
      </w:r>
    </w:p>
    <w:p w14:paraId="2282D372">
      <w:pPr>
        <w:pStyle w:val="60"/>
        <w:ind w:firstLine="420"/>
      </w:pPr>
      <w:r>
        <w:rPr>
          <w:rFonts w:hint="eastAsia"/>
        </w:rPr>
        <w:t>本文件主要起草人：</w:t>
      </w:r>
      <w:r>
        <w:rPr>
          <w:rFonts w:hint="eastAsia"/>
          <w:highlight w:val="yellow"/>
        </w:rPr>
        <w:t>XXXXXXXXXXXXXXXXXXXXXXXXX</w:t>
      </w:r>
      <w:r>
        <w:rPr>
          <w:rFonts w:hint="eastAsia"/>
        </w:rPr>
        <w:t xml:space="preserve"> </w:t>
      </w:r>
    </w:p>
    <w:p w14:paraId="0FF68147">
      <w:pPr>
        <w:pStyle w:val="60"/>
        <w:ind w:firstLine="420"/>
      </w:pPr>
    </w:p>
    <w:p w14:paraId="7ECA317E">
      <w:pPr>
        <w:pStyle w:val="60"/>
        <w:ind w:firstLine="420"/>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linePitch="312" w:charSpace="0"/>
        </w:sectPr>
      </w:pPr>
    </w:p>
    <w:bookmarkEnd w:id="21"/>
    <w:p w14:paraId="2DD9B186">
      <w:pPr>
        <w:spacing w:line="20" w:lineRule="exact"/>
        <w:jc w:val="center"/>
        <w:rPr>
          <w:rFonts w:hint="eastAsia" w:ascii="黑体" w:hAnsi="黑体" w:eastAsia="黑体"/>
          <w:sz w:val="32"/>
          <w:szCs w:val="32"/>
        </w:rPr>
      </w:pPr>
      <w:bookmarkStart w:id="22" w:name="BookMark4"/>
    </w:p>
    <w:p w14:paraId="137C3A2C">
      <w:pPr>
        <w:spacing w:line="20" w:lineRule="exact"/>
        <w:jc w:val="center"/>
        <w:rPr>
          <w:rFonts w:hint="eastAsia" w:ascii="黑体" w:hAnsi="黑体" w:eastAsia="黑体"/>
          <w:sz w:val="32"/>
          <w:szCs w:val="32"/>
        </w:rPr>
      </w:pPr>
    </w:p>
    <w:sdt>
      <w:sdtPr>
        <w:tag w:val="NEW_STAND_NAME"/>
        <w:id w:val="595910757"/>
        <w:lock w:val="sdtLocked"/>
        <w:placeholder>
          <w:docPart w:val="648FD49CB85F426BB4D6A59A0CD788FF"/>
        </w:placeholder>
      </w:sdtPr>
      <w:sdtContent>
        <w:p w14:paraId="1FD07152">
          <w:pPr>
            <w:pStyle w:val="181"/>
            <w:spacing w:before="240" w:beforeLines="100" w:after="528" w:afterLines="220"/>
            <w:rPr>
              <w:rFonts w:hint="eastAsia"/>
            </w:rPr>
          </w:pPr>
          <w:bookmarkStart w:id="23" w:name="NEW_STAND_NAME"/>
          <w:r>
            <w:rPr>
              <w:rFonts w:hint="eastAsia"/>
            </w:rPr>
            <w:t>辽宁好粮油</w:t>
          </w:r>
          <w:r>
            <w:t xml:space="preserve"> </w:t>
          </w:r>
          <w:r>
            <w:rPr>
              <w:rFonts w:hint="eastAsia"/>
            </w:rPr>
            <w:t>混合全谷物米</w:t>
          </w:r>
        </w:p>
      </w:sdtContent>
    </w:sdt>
    <w:bookmarkEnd w:id="23"/>
    <w:p w14:paraId="1A980745">
      <w:pPr>
        <w:pStyle w:val="108"/>
        <w:spacing w:before="240" w:after="240"/>
      </w:pPr>
      <w:bookmarkStart w:id="24" w:name="_Toc17233333"/>
      <w:bookmarkStart w:id="25" w:name="_Toc97192964"/>
      <w:bookmarkStart w:id="26" w:name="_Toc26986771"/>
      <w:bookmarkStart w:id="27" w:name="_Toc26986530"/>
      <w:bookmarkStart w:id="28" w:name="_Toc24884211"/>
      <w:bookmarkStart w:id="29" w:name="_Toc26718930"/>
      <w:bookmarkStart w:id="30" w:name="_Toc17233325"/>
      <w:bookmarkStart w:id="31" w:name="_Toc24884218"/>
      <w:bookmarkStart w:id="32" w:name="_Toc26648465"/>
      <w:bookmarkStart w:id="33" w:name="_Toc26986531"/>
      <w:bookmarkStart w:id="34" w:name="_Toc26648466"/>
      <w:bookmarkStart w:id="35" w:name="_Toc26986772"/>
      <w:bookmarkStart w:id="36" w:name="_Toc17233326"/>
      <w:bookmarkStart w:id="37" w:name="_Toc17233334"/>
      <w:bookmarkStart w:id="38" w:name="_Toc97192965"/>
      <w:bookmarkStart w:id="39" w:name="_Toc24884219"/>
      <w:bookmarkStart w:id="40" w:name="_Toc26718931"/>
      <w:bookmarkStart w:id="41" w:name="_Toc24884212"/>
      <w:r>
        <w:rPr>
          <w:rFonts w:hint="eastAsia"/>
        </w:rPr>
        <w:t>范围</w:t>
      </w:r>
      <w:bookmarkEnd w:id="24"/>
      <w:bookmarkEnd w:id="25"/>
      <w:bookmarkEnd w:id="26"/>
      <w:bookmarkEnd w:id="27"/>
      <w:bookmarkEnd w:id="28"/>
      <w:bookmarkEnd w:id="29"/>
      <w:bookmarkEnd w:id="30"/>
      <w:bookmarkEnd w:id="31"/>
      <w:bookmarkEnd w:id="32"/>
    </w:p>
    <w:p w14:paraId="555BA98C">
      <w:pPr>
        <w:pStyle w:val="60"/>
        <w:ind w:firstLine="420"/>
        <w:rPr>
          <w:lang w:bidi="ar"/>
        </w:rPr>
      </w:pPr>
      <w:r>
        <w:rPr>
          <w:rFonts w:hint="eastAsia"/>
          <w:lang w:bidi="ar"/>
        </w:rPr>
        <w:t xml:space="preserve">本文件界定了辽宁好粮油 </w:t>
      </w:r>
      <w:r>
        <w:rPr>
          <w:rFonts w:hint="eastAsia"/>
        </w:rPr>
        <w:t>混合全谷物米</w:t>
      </w:r>
      <w:r>
        <w:rPr>
          <w:rFonts w:hint="eastAsia"/>
          <w:lang w:bidi="ar"/>
        </w:rPr>
        <w:t>的术语和定义，规定了产品分类、质量与安全要求、检验</w:t>
      </w:r>
      <w:r>
        <w:rPr>
          <w:rFonts w:hint="eastAsia" w:cs="仿宋"/>
          <w:kern w:val="2"/>
          <w:lang w:bidi="ar"/>
        </w:rPr>
        <w:t>方法、检验规则、标签标识、包装、运输和储存的要求</w:t>
      </w:r>
      <w:r>
        <w:rPr>
          <w:rFonts w:hint="eastAsia"/>
          <w:lang w:bidi="ar"/>
        </w:rPr>
        <w:t>。</w:t>
      </w:r>
    </w:p>
    <w:p w14:paraId="388444A4">
      <w:pPr>
        <w:pStyle w:val="60"/>
        <w:ind w:firstLine="420"/>
      </w:pPr>
      <w:r>
        <w:rPr>
          <w:rFonts w:hint="eastAsia" w:ascii="Calibri" w:hAnsi="Calibri" w:cs="仿宋"/>
          <w:kern w:val="2"/>
          <w:szCs w:val="21"/>
          <w:lang w:bidi="ar"/>
        </w:rPr>
        <w:t>本文件适用于辽宁省行政区域内企业加工生产的</w:t>
      </w:r>
      <w:r>
        <w:rPr>
          <w:rFonts w:hint="eastAsia" w:ascii="Calibri" w:hAnsi="Calibri"/>
          <w:kern w:val="2"/>
          <w:szCs w:val="21"/>
          <w:highlight w:val="none"/>
          <w:lang w:bidi="ar"/>
        </w:rPr>
        <w:t>食用</w:t>
      </w:r>
      <w:r>
        <w:rPr>
          <w:rFonts w:hint="eastAsia"/>
        </w:rPr>
        <w:t>混合全谷物米</w:t>
      </w:r>
      <w:r>
        <w:rPr>
          <w:rFonts w:hint="eastAsia" w:ascii="Calibri" w:hAnsi="Calibri"/>
          <w:kern w:val="2"/>
          <w:szCs w:val="21"/>
          <w:lang w:bidi="ar"/>
        </w:rPr>
        <w:t>商品。</w:t>
      </w:r>
    </w:p>
    <w:p w14:paraId="454A06D1">
      <w:pPr>
        <w:pStyle w:val="108"/>
        <w:spacing w:before="240" w:after="240"/>
      </w:pPr>
      <w:r>
        <w:rPr>
          <w:rFonts w:hint="eastAsia"/>
        </w:rPr>
        <w:t>规范性引用文件</w:t>
      </w:r>
      <w:bookmarkEnd w:id="33"/>
      <w:bookmarkEnd w:id="34"/>
      <w:bookmarkEnd w:id="35"/>
      <w:bookmarkEnd w:id="36"/>
      <w:bookmarkEnd w:id="37"/>
      <w:bookmarkEnd w:id="38"/>
      <w:bookmarkEnd w:id="39"/>
      <w:bookmarkEnd w:id="40"/>
      <w:bookmarkEnd w:id="41"/>
    </w:p>
    <w:sdt>
      <w:sdtPr>
        <w:rPr>
          <w:rFonts w:hint="eastAsia"/>
        </w:rPr>
        <w:id w:val="715848253"/>
        <w:placeholder>
          <w:docPart w:val="7E1ACE23BA4749089784EFF7C87B9205"/>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43F46574">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1E4F1B4">
      <w:pPr>
        <w:pStyle w:val="60"/>
        <w:ind w:firstLine="420"/>
        <w:rPr>
          <w:rFonts w:hint="eastAsia" w:hAnsi="宋体" w:cs="宋体"/>
          <w:szCs w:val="21"/>
        </w:rPr>
      </w:pPr>
      <w:r>
        <w:rPr>
          <w:rFonts w:hint="eastAsia" w:hAnsi="宋体" w:cs="宋体"/>
          <w:szCs w:val="21"/>
        </w:rPr>
        <w:t>G</w:t>
      </w:r>
      <w:r>
        <w:rPr>
          <w:rFonts w:hAnsi="宋体" w:cs="宋体"/>
          <w:szCs w:val="21"/>
        </w:rPr>
        <w:t>B/T</w:t>
      </w:r>
      <w:r>
        <w:rPr>
          <w:rFonts w:hint="eastAsia" w:hAnsi="宋体" w:cs="宋体"/>
          <w:szCs w:val="21"/>
        </w:rPr>
        <w:t xml:space="preserve"> 191 包装储运图形符号标志</w:t>
      </w:r>
    </w:p>
    <w:p w14:paraId="7D459267">
      <w:pPr>
        <w:pStyle w:val="60"/>
        <w:ind w:firstLine="420"/>
        <w:rPr>
          <w:rFonts w:hint="eastAsia" w:hAnsi="宋体" w:cs="宋体"/>
          <w:szCs w:val="21"/>
        </w:rPr>
      </w:pPr>
      <w:r>
        <w:rPr>
          <w:rFonts w:hint="eastAsia" w:hAnsi="宋体" w:cs="宋体"/>
          <w:szCs w:val="21"/>
        </w:rPr>
        <w:t>GB/T 1354  大米</w:t>
      </w:r>
    </w:p>
    <w:p w14:paraId="171942B6">
      <w:pPr>
        <w:pStyle w:val="60"/>
        <w:ind w:firstLine="420"/>
      </w:pPr>
      <w:r>
        <w:rPr>
          <w:rFonts w:hint="eastAsia"/>
        </w:rPr>
        <w:t>GB 2715  食品安全国家标准  粮食</w:t>
      </w:r>
    </w:p>
    <w:p w14:paraId="3F20FC0F">
      <w:pPr>
        <w:pStyle w:val="60"/>
        <w:ind w:firstLine="420"/>
      </w:pPr>
      <w:r>
        <w:rPr>
          <w:rFonts w:hint="eastAsia"/>
        </w:rPr>
        <w:t>GB 2761  食品安全国家标准  食品中真菌毒素限量</w:t>
      </w:r>
    </w:p>
    <w:p w14:paraId="6F72B146">
      <w:pPr>
        <w:pStyle w:val="60"/>
        <w:ind w:firstLine="420"/>
      </w:pPr>
      <w:r>
        <w:rPr>
          <w:rFonts w:hint="eastAsia"/>
        </w:rPr>
        <w:t>GB 2762  食品安全国家标准  食品中污染物限量</w:t>
      </w:r>
    </w:p>
    <w:p w14:paraId="1E07C4DD">
      <w:pPr>
        <w:pStyle w:val="60"/>
        <w:ind w:firstLine="420"/>
      </w:pPr>
      <w:r>
        <w:rPr>
          <w:rFonts w:hint="eastAsia"/>
        </w:rPr>
        <w:t>GB 2763  食品安全国家标准  食品中农药最大残留限量</w:t>
      </w:r>
    </w:p>
    <w:p w14:paraId="2B1824A2">
      <w:pPr>
        <w:pStyle w:val="60"/>
        <w:ind w:firstLine="420"/>
      </w:pPr>
      <w:r>
        <w:rPr>
          <w:rFonts w:hint="eastAsia"/>
        </w:rPr>
        <w:t>GB 4806.7 食品安全国家标准 食品接触用塑料材料及制品</w:t>
      </w:r>
    </w:p>
    <w:p w14:paraId="5842263A">
      <w:pPr>
        <w:pStyle w:val="60"/>
        <w:ind w:firstLine="420"/>
      </w:pPr>
      <w:r>
        <w:rPr>
          <w:rFonts w:hint="eastAsia"/>
        </w:rPr>
        <w:t>GB 5009.3  食品安全国家标准  食品中水分的测定</w:t>
      </w:r>
    </w:p>
    <w:p w14:paraId="109C9328">
      <w:pPr>
        <w:pStyle w:val="60"/>
        <w:ind w:firstLine="420"/>
      </w:pPr>
      <w:r>
        <w:rPr>
          <w:rFonts w:hint="eastAsia"/>
        </w:rPr>
        <w:t>GB 5009.84  食品安全国家标准  食品中维生素B</w:t>
      </w:r>
      <w:r>
        <w:rPr>
          <w:vertAlign w:val="subscript"/>
        </w:rPr>
        <w:t>1</w:t>
      </w:r>
      <w:r>
        <w:rPr>
          <w:rFonts w:hint="eastAsia"/>
        </w:rPr>
        <w:t>的测定</w:t>
      </w:r>
    </w:p>
    <w:p w14:paraId="127AD036">
      <w:pPr>
        <w:pStyle w:val="60"/>
        <w:ind w:firstLine="420"/>
      </w:pPr>
      <w:r>
        <w:rPr>
          <w:rFonts w:hint="eastAsia"/>
        </w:rPr>
        <w:t>GB 5009.88  食品安全国家标准  食品中膳食纤维的测定</w:t>
      </w:r>
    </w:p>
    <w:p w14:paraId="264EB429">
      <w:pPr>
        <w:pStyle w:val="60"/>
        <w:ind w:firstLine="420"/>
      </w:pPr>
      <w:r>
        <w:rPr>
          <w:rFonts w:hint="eastAsia"/>
        </w:rPr>
        <w:t>GB 5009.211  食品安全国家标准  食品中叶酸的测定</w:t>
      </w:r>
    </w:p>
    <w:p w14:paraId="7CC174EE">
      <w:pPr>
        <w:pStyle w:val="60"/>
        <w:ind w:firstLine="420"/>
      </w:pPr>
      <w:r>
        <w:rPr>
          <w:rFonts w:hint="eastAsia"/>
        </w:rPr>
        <w:t>GB/T 5490  粮油检验  一般规则</w:t>
      </w:r>
    </w:p>
    <w:p w14:paraId="24AFC3F3">
      <w:pPr>
        <w:pStyle w:val="60"/>
        <w:ind w:firstLine="420"/>
      </w:pPr>
      <w:r>
        <w:rPr>
          <w:rFonts w:hint="eastAsia"/>
        </w:rPr>
        <w:t>GB/T 5491  粮食、油料检验  扦样、分样法</w:t>
      </w:r>
    </w:p>
    <w:p w14:paraId="05FD13ED">
      <w:pPr>
        <w:pStyle w:val="60"/>
        <w:ind w:firstLine="420"/>
      </w:pPr>
      <w:r>
        <w:rPr>
          <w:rFonts w:hint="eastAsia"/>
        </w:rPr>
        <w:t>GB/T 5492  粮油检验  粮食、油料的色泽、气味、口味鉴定</w:t>
      </w:r>
    </w:p>
    <w:p w14:paraId="58F22BFC">
      <w:pPr>
        <w:pStyle w:val="60"/>
        <w:ind w:firstLine="420"/>
      </w:pPr>
      <w:r>
        <w:rPr>
          <w:rFonts w:hint="eastAsia"/>
        </w:rPr>
        <w:t>GB/T 5494  粮油检验  粮食、油料的杂质、不完善粒检验</w:t>
      </w:r>
    </w:p>
    <w:p w14:paraId="5D8E47EC">
      <w:pPr>
        <w:pStyle w:val="60"/>
        <w:ind w:firstLine="420"/>
      </w:pPr>
      <w:r>
        <w:rPr>
          <w:rFonts w:hint="eastAsia"/>
        </w:rPr>
        <w:t>GB/T 5497-2025  粮油检验 粮食、油料中水分的测定</w:t>
      </w:r>
    </w:p>
    <w:p w14:paraId="366A1FB9">
      <w:pPr>
        <w:pStyle w:val="60"/>
        <w:ind w:firstLine="420"/>
      </w:pPr>
      <w:r>
        <w:rPr>
          <w:rFonts w:hint="eastAsia"/>
        </w:rPr>
        <w:t>GB 5749 生活饮用水卫生标准</w:t>
      </w:r>
    </w:p>
    <w:p w14:paraId="204FC0C5">
      <w:pPr>
        <w:pStyle w:val="60"/>
        <w:ind w:firstLine="420"/>
      </w:pPr>
      <w:r>
        <w:rPr>
          <w:rFonts w:hint="eastAsia"/>
        </w:rPr>
        <w:t>GB/T 6543  运输包装用单瓦楞纸箱和双瓦楞纸箱</w:t>
      </w:r>
    </w:p>
    <w:p w14:paraId="2EA300C3">
      <w:pPr>
        <w:pStyle w:val="60"/>
        <w:ind w:firstLine="420"/>
      </w:pPr>
      <w:r>
        <w:rPr>
          <w:rFonts w:hint="eastAsia"/>
        </w:rPr>
        <w:t>GB 7718  食品安全国家标准  预包装食品标签通则</w:t>
      </w:r>
    </w:p>
    <w:p w14:paraId="2A30D040">
      <w:pPr>
        <w:pStyle w:val="60"/>
        <w:ind w:firstLine="420"/>
      </w:pPr>
      <w:r>
        <w:rPr>
          <w:rFonts w:hint="eastAsia"/>
        </w:rPr>
        <w:t>GB/T 17109  粮食销售包装</w:t>
      </w:r>
    </w:p>
    <w:p w14:paraId="2B826143">
      <w:pPr>
        <w:pStyle w:val="60"/>
        <w:ind w:firstLine="420"/>
      </w:pPr>
      <w:r>
        <w:rPr>
          <w:rFonts w:hint="eastAsia"/>
        </w:rPr>
        <w:t>GB/T 18810  糙米</w:t>
      </w:r>
    </w:p>
    <w:p w14:paraId="2DB1F5B4">
      <w:pPr>
        <w:pStyle w:val="60"/>
        <w:ind w:firstLine="420"/>
      </w:pPr>
      <w:r>
        <w:t>GB/T 22515</w:t>
      </w:r>
      <w:r>
        <w:rPr>
          <w:rFonts w:hint="eastAsia"/>
        </w:rPr>
        <w:t xml:space="preserve"> </w:t>
      </w:r>
      <w:r>
        <w:t>粮油名词术语 粮食、油料及其加工产品</w:t>
      </w:r>
    </w:p>
    <w:p w14:paraId="1F2BB4B0">
      <w:pPr>
        <w:pStyle w:val="60"/>
        <w:ind w:firstLine="420"/>
      </w:pPr>
      <w:r>
        <w:rPr>
          <w:rFonts w:hint="eastAsia"/>
        </w:rPr>
        <w:t>GB/T 25226  大米  蒸煮过程中米粒糊化时间的评价</w:t>
      </w:r>
    </w:p>
    <w:p w14:paraId="6ABF838D">
      <w:pPr>
        <w:pStyle w:val="60"/>
        <w:ind w:firstLine="420"/>
      </w:pPr>
      <w:r>
        <w:rPr>
          <w:rFonts w:hint="eastAsia"/>
        </w:rPr>
        <w:t>GB 28050  食品安全国家标准  预包装食品营养标签通则</w:t>
      </w:r>
    </w:p>
    <w:p w14:paraId="2A5BD2F2">
      <w:pPr>
        <w:pStyle w:val="60"/>
        <w:ind w:firstLine="420"/>
      </w:pPr>
      <w:r>
        <w:rPr>
          <w:rFonts w:hint="eastAsia"/>
        </w:rPr>
        <w:t>GB/T 42227  留胚米</w:t>
      </w:r>
    </w:p>
    <w:p w14:paraId="50269A3A">
      <w:pPr>
        <w:pStyle w:val="60"/>
        <w:ind w:firstLine="420"/>
      </w:pPr>
      <w:r>
        <w:rPr>
          <w:rFonts w:hint="eastAsia"/>
        </w:rPr>
        <w:t>GB/T 48029 全谷物食品命名与标示要求</w:t>
      </w:r>
    </w:p>
    <w:p w14:paraId="73F79363">
      <w:pPr>
        <w:pStyle w:val="60"/>
        <w:ind w:firstLine="420"/>
      </w:pPr>
      <w:r>
        <w:rPr>
          <w:rFonts w:hint="eastAsia"/>
        </w:rPr>
        <w:t xml:space="preserve">JJF 1070  定量包装商品净含量计量检验规则  </w:t>
      </w:r>
    </w:p>
    <w:p w14:paraId="13B8BC2B">
      <w:pPr>
        <w:pStyle w:val="60"/>
        <w:ind w:firstLine="420"/>
      </w:pPr>
      <w:r>
        <w:rPr>
          <w:rFonts w:hint="eastAsia"/>
        </w:rPr>
        <w:t>LS/T 1105  全谷物分类与标示要求</w:t>
      </w:r>
    </w:p>
    <w:p w14:paraId="2CA94679">
      <w:pPr>
        <w:pStyle w:val="60"/>
        <w:ind w:firstLine="420"/>
      </w:pPr>
      <w:r>
        <w:rPr>
          <w:rFonts w:hint="eastAsia"/>
        </w:rPr>
        <w:t>LS/T 1218 中国好粮油 生产质量控制规范</w:t>
      </w:r>
    </w:p>
    <w:p w14:paraId="4E351325">
      <w:pPr>
        <w:pStyle w:val="60"/>
        <w:ind w:firstLine="420"/>
        <w:rPr>
          <w:rFonts w:hint="eastAsia"/>
        </w:rPr>
      </w:pPr>
      <w:r>
        <w:rPr>
          <w:rFonts w:hint="eastAsia"/>
        </w:rPr>
        <w:t>LS/T 3112  中国好粮油  杂粮</w:t>
      </w:r>
    </w:p>
    <w:p w14:paraId="1D3C8ECA">
      <w:pPr>
        <w:pStyle w:val="60"/>
        <w:ind w:firstLine="420"/>
      </w:pPr>
      <w:r>
        <w:rPr>
          <w:rFonts w:hint="eastAsia"/>
        </w:rPr>
        <w:t>LS/T 3245  藜麦米</w:t>
      </w:r>
    </w:p>
    <w:p w14:paraId="59B5FDFF">
      <w:pPr>
        <w:pStyle w:val="60"/>
        <w:ind w:firstLine="420"/>
      </w:pPr>
      <w:r>
        <w:rPr>
          <w:rFonts w:hint="eastAsia"/>
        </w:rPr>
        <w:t>LS/T 3260  燕麦米</w:t>
      </w:r>
    </w:p>
    <w:p w14:paraId="6881708B">
      <w:pPr>
        <w:pStyle w:val="60"/>
        <w:ind w:firstLine="420"/>
      </w:pPr>
      <w:r>
        <w:rPr>
          <w:rFonts w:hint="eastAsia"/>
        </w:rPr>
        <w:t>LS/T 3270  红米</w:t>
      </w:r>
    </w:p>
    <w:p w14:paraId="770B7446">
      <w:pPr>
        <w:pStyle w:val="60"/>
        <w:ind w:firstLine="420"/>
      </w:pPr>
      <w:r>
        <w:rPr>
          <w:rFonts w:hint="eastAsia"/>
        </w:rPr>
        <w:t>LS/T 3324  青稞米和青稞粉</w:t>
      </w:r>
    </w:p>
    <w:p w14:paraId="0FEFCD2C">
      <w:pPr>
        <w:pStyle w:val="60"/>
        <w:ind w:firstLine="420"/>
      </w:pPr>
      <w:r>
        <w:rPr>
          <w:rFonts w:hint="eastAsia"/>
        </w:rPr>
        <w:t>NY/T 832  黑米</w:t>
      </w:r>
    </w:p>
    <w:p w14:paraId="067C92D7">
      <w:pPr>
        <w:pStyle w:val="60"/>
        <w:ind w:firstLine="420"/>
        <w:rPr>
          <w:rFonts w:hint="eastAsia"/>
        </w:rPr>
      </w:pPr>
      <w:r>
        <w:rPr>
          <w:rFonts w:hint="eastAsia"/>
        </w:rPr>
        <w:t>T/LNSLX 001 辽宁好粮油 大米</w:t>
      </w:r>
    </w:p>
    <w:p w14:paraId="554926F0">
      <w:pPr>
        <w:pStyle w:val="234"/>
        <w:widowControl w:val="0"/>
        <w:tabs>
          <w:tab w:val="clear" w:pos="4201"/>
          <w:tab w:val="clear" w:pos="9298"/>
        </w:tabs>
        <w:rPr>
          <w:rFonts w:ascii="Times New Roman"/>
          <w:kern w:val="2"/>
          <w:szCs w:val="24"/>
        </w:rPr>
      </w:pPr>
      <w:r>
        <w:rPr>
          <w:rFonts w:hint="eastAsia" w:ascii="Times New Roman"/>
          <w:kern w:val="2"/>
          <w:szCs w:val="24"/>
        </w:rPr>
        <w:t>国家市场监督管理总局令第70号《定量包装商品计量监督管理办法》（2023年3月16日公布）</w:t>
      </w:r>
    </w:p>
    <w:p w14:paraId="7267B859">
      <w:pPr>
        <w:pStyle w:val="108"/>
        <w:spacing w:before="240" w:after="240" w:line="400" w:lineRule="exact"/>
        <w:rPr>
          <w:rFonts w:hint="eastAsia"/>
        </w:rPr>
      </w:pPr>
      <w:bookmarkStart w:id="42" w:name="_Toc97192966"/>
      <w:r>
        <w:rPr>
          <w:rFonts w:hint="eastAsia"/>
        </w:rPr>
        <w:t>术语和定义</w:t>
      </w:r>
      <w:bookmarkEnd w:id="42"/>
    </w:p>
    <w:p w14:paraId="33ACF686">
      <w:pPr>
        <w:pStyle w:val="60"/>
        <w:spacing w:line="400" w:lineRule="exact"/>
        <w:rPr>
          <w:rFonts w:hint="eastAsia" w:eastAsia="宋体"/>
          <w:lang w:eastAsia="zh-CN"/>
        </w:rPr>
      </w:pPr>
      <w:r>
        <w:rPr>
          <w:rFonts w:hint="eastAsia"/>
        </w:rPr>
        <w:t>GB/T 48029、LS/T 1105、LS/T 3112、</w:t>
      </w:r>
      <w:r>
        <w:t>GB/T 22515</w:t>
      </w:r>
      <w:r>
        <w:rPr>
          <w:rFonts w:hint="eastAsia"/>
        </w:rPr>
        <w:t>界定的以及下列术语和定义适用于本文件</w:t>
      </w:r>
      <w:r>
        <w:rPr>
          <w:rFonts w:hint="eastAsia"/>
          <w:lang w:eastAsia="zh-CN"/>
        </w:rPr>
        <w:t>。</w:t>
      </w:r>
    </w:p>
    <w:p w14:paraId="0BC9636B">
      <w:pPr>
        <w:pStyle w:val="227"/>
        <w:numPr>
          <w:ilvl w:val="2"/>
          <w:numId w:val="0"/>
        </w:numPr>
        <w:spacing w:line="400" w:lineRule="exact"/>
        <w:rPr>
          <w:rFonts w:hint="eastAsia" w:ascii="黑体" w:hAnsi="黑体" w:eastAsia="黑体"/>
        </w:rPr>
      </w:pPr>
      <w:r>
        <w:rPr>
          <w:rFonts w:hint="eastAsia" w:ascii="黑体" w:hAnsi="黑体" w:eastAsia="黑体"/>
        </w:rPr>
        <w:t>3.1 辽宁好粮油 混合全谷物米Liaoning good grain＆oil</w:t>
      </w:r>
      <w:r>
        <w:rPr>
          <w:rFonts w:hint="eastAsia" w:ascii="黑体" w:hAnsi="黑体" w:eastAsia="黑体"/>
          <w:lang w:val="en-US" w:eastAsia="zh-CN"/>
        </w:rPr>
        <w:t xml:space="preserve"> </w:t>
      </w:r>
      <w:r>
        <w:rPr>
          <w:rFonts w:hint="eastAsia" w:ascii="黑体" w:hAnsi="黑体" w:eastAsia="黑体"/>
        </w:rPr>
        <w:t>Formulated whole‑grain blended rice</w:t>
      </w:r>
    </w:p>
    <w:p w14:paraId="47F7B346">
      <w:pPr>
        <w:pStyle w:val="60"/>
        <w:spacing w:line="400" w:lineRule="exact"/>
        <w:ind w:firstLine="420"/>
      </w:pPr>
      <w:r>
        <w:rPr>
          <w:rFonts w:hint="eastAsia"/>
        </w:rPr>
        <w:t>将糙</w:t>
      </w:r>
      <w:r>
        <w:rPr>
          <w:rFonts w:hint="eastAsia"/>
          <w:color w:val="auto"/>
          <w:highlight w:val="none"/>
        </w:rPr>
        <w:t>米、黑米、红米、燕麦米、青稞米、藜麦米其中的一种及以上全谷物原料，按照一定比例与留胚米</w:t>
      </w:r>
      <w:r>
        <w:rPr>
          <w:rFonts w:hint="eastAsia"/>
          <w:color w:val="auto"/>
          <w:highlight w:val="none"/>
          <w:lang w:eastAsia="zh-CN"/>
        </w:rPr>
        <w:t>或大米</w:t>
      </w:r>
      <w:r>
        <w:rPr>
          <w:rFonts w:hint="eastAsia"/>
          <w:color w:val="auto"/>
          <w:highlight w:val="none"/>
        </w:rPr>
        <w:t>复配，或上述全谷物原料两种及以上复配，经混合等工</w:t>
      </w:r>
      <w:r>
        <w:rPr>
          <w:rFonts w:hint="eastAsia"/>
        </w:rPr>
        <w:t>艺拌匀制成的可实现同煮同熟的颗粒状产品。</w:t>
      </w:r>
    </w:p>
    <w:p w14:paraId="04A54F23">
      <w:pPr>
        <w:widowControl/>
        <w:jc w:val="left"/>
      </w:pPr>
      <w:r>
        <w:rPr>
          <w:rFonts w:ascii="黑体" w:hAnsi="黑体" w:eastAsia="黑体"/>
          <w:kern w:val="0"/>
          <w:szCs w:val="20"/>
        </w:rPr>
        <w:t>3.2配料完整</w:t>
      </w:r>
      <w:r>
        <w:rPr>
          <w:rFonts w:hint="eastAsia" w:ascii="黑体" w:hAnsi="黑体" w:eastAsia="黑体"/>
          <w:kern w:val="0"/>
          <w:szCs w:val="20"/>
        </w:rPr>
        <w:t>米Whole</w:t>
      </w:r>
      <w:r>
        <w:rPr>
          <w:rFonts w:hint="eastAsia" w:ascii="黑体" w:hAnsi="黑体" w:eastAsia="黑体"/>
          <w:kern w:val="0"/>
          <w:szCs w:val="20"/>
          <w:lang w:val="en-US" w:eastAsia="zh-CN"/>
        </w:rPr>
        <w:t xml:space="preserve"> milled</w:t>
      </w:r>
      <w:r>
        <w:rPr>
          <w:rFonts w:hint="eastAsia" w:ascii="黑体" w:hAnsi="黑体" w:eastAsia="黑体"/>
          <w:kern w:val="0"/>
          <w:szCs w:val="20"/>
        </w:rPr>
        <w:t xml:space="preserve"> </w:t>
      </w:r>
      <w:r>
        <w:rPr>
          <w:rFonts w:hint="eastAsia" w:ascii="黑体" w:hAnsi="黑体" w:eastAsia="黑体"/>
          <w:kern w:val="0"/>
          <w:szCs w:val="20"/>
          <w:lang w:val="en-US" w:eastAsia="zh-CN"/>
        </w:rPr>
        <w:t>r</w:t>
      </w:r>
      <w:r>
        <w:rPr>
          <w:rFonts w:hint="eastAsia" w:ascii="黑体" w:hAnsi="黑体" w:eastAsia="黑体"/>
          <w:kern w:val="0"/>
          <w:szCs w:val="20"/>
        </w:rPr>
        <w:t>ice</w:t>
      </w:r>
      <w:r>
        <w:rPr>
          <w:rFonts w:hint="eastAsia" w:ascii="黑体" w:hAnsi="黑体" w:eastAsia="黑体"/>
          <w:kern w:val="0"/>
          <w:szCs w:val="20"/>
          <w:lang w:val="en-US" w:eastAsia="zh-CN"/>
        </w:rPr>
        <w:t xml:space="preserve"> </w:t>
      </w:r>
      <w:r>
        <w:rPr>
          <w:rFonts w:hint="eastAsia" w:ascii="黑体" w:hAnsi="黑体" w:eastAsia="黑体"/>
          <w:kern w:val="0"/>
          <w:szCs w:val="20"/>
        </w:rPr>
        <w:t xml:space="preserve">in </w:t>
      </w:r>
      <w:r>
        <w:rPr>
          <w:rFonts w:hint="eastAsia" w:ascii="黑体" w:hAnsi="黑体" w:eastAsia="黑体"/>
          <w:kern w:val="0"/>
          <w:szCs w:val="20"/>
          <w:lang w:val="en-US" w:eastAsia="zh-CN"/>
        </w:rPr>
        <w:t>i</w:t>
      </w:r>
      <w:r>
        <w:rPr>
          <w:rFonts w:hint="eastAsia" w:ascii="黑体" w:hAnsi="黑体" w:eastAsia="黑体"/>
          <w:kern w:val="0"/>
          <w:szCs w:val="20"/>
        </w:rPr>
        <w:t>ngredients</w:t>
      </w:r>
    </w:p>
    <w:p w14:paraId="54D9A8DC">
      <w:pPr>
        <w:pStyle w:val="60"/>
        <w:spacing w:line="400" w:lineRule="exact"/>
        <w:ind w:firstLine="420"/>
        <w:rPr>
          <w:color w:val="auto"/>
        </w:rPr>
      </w:pPr>
      <w:r>
        <w:rPr>
          <w:color w:val="auto"/>
        </w:rPr>
        <w:t>完整米粒及长度大于或等于该种配料试样完整米粒平均长度四分之三的非完整米粒。其中藜麦米以破碎程度衡量，</w:t>
      </w:r>
      <w:r>
        <w:rPr>
          <w:rFonts w:hint="eastAsia"/>
          <w:color w:val="auto"/>
          <w:lang w:eastAsia="zh-CN"/>
        </w:rPr>
        <w:t>留存在</w:t>
      </w:r>
      <w:r>
        <w:rPr>
          <w:rFonts w:hint="eastAsia"/>
          <w:color w:val="auto"/>
        </w:rPr>
        <w:t>1.5mm圆孔筛上的</w:t>
      </w:r>
      <w:r>
        <w:rPr>
          <w:rFonts w:hint="eastAsia"/>
          <w:color w:val="auto"/>
          <w:lang w:eastAsia="zh-CN"/>
        </w:rPr>
        <w:t>所有</w:t>
      </w:r>
      <w:r>
        <w:rPr>
          <w:rFonts w:hint="eastAsia"/>
          <w:color w:val="auto"/>
        </w:rPr>
        <w:t>米粒及筛下的完整米粒</w:t>
      </w:r>
      <w:r>
        <w:rPr>
          <w:color w:val="auto"/>
        </w:rPr>
        <w:t>。</w:t>
      </w:r>
    </w:p>
    <w:p w14:paraId="3D2FF423">
      <w:pPr>
        <w:widowControl/>
        <w:jc w:val="left"/>
        <w:rPr>
          <w:rFonts w:hint="eastAsia" w:ascii="黑体" w:hAnsi="黑体" w:eastAsia="黑体"/>
          <w:kern w:val="0"/>
          <w:szCs w:val="20"/>
        </w:rPr>
      </w:pPr>
      <w:r>
        <w:rPr>
          <w:rFonts w:ascii="黑体" w:hAnsi="黑体" w:eastAsia="黑体"/>
          <w:kern w:val="0"/>
          <w:szCs w:val="20"/>
        </w:rPr>
        <w:t>3.3</w:t>
      </w:r>
      <w:r>
        <w:rPr>
          <w:rFonts w:hint="eastAsia" w:ascii="黑体" w:hAnsi="黑体" w:eastAsia="黑体"/>
          <w:kern w:val="0"/>
          <w:szCs w:val="20"/>
        </w:rPr>
        <w:t>杂质　impurities；useless material</w:t>
      </w:r>
    </w:p>
    <w:p w14:paraId="73B5B1FC">
      <w:pPr>
        <w:widowControl/>
        <w:ind w:firstLine="420" w:firstLineChars="200"/>
        <w:jc w:val="left"/>
        <w:rPr>
          <w:rFonts w:ascii="宋体" w:hAnsi="Times New Roman"/>
          <w:color w:val="auto"/>
          <w:kern w:val="0"/>
          <w:szCs w:val="20"/>
        </w:rPr>
      </w:pPr>
      <w:r>
        <w:rPr>
          <w:rFonts w:hint="eastAsia" w:ascii="宋体" w:hAnsi="Times New Roman"/>
          <w:color w:val="auto"/>
          <w:kern w:val="0"/>
          <w:szCs w:val="20"/>
        </w:rPr>
        <w:t xml:space="preserve">米粒以外的其他物质，及无食用价值的米粒。 </w:t>
      </w:r>
    </w:p>
    <w:p w14:paraId="1C7A177F">
      <w:pPr>
        <w:widowControl/>
        <w:ind w:firstLine="420" w:firstLineChars="200"/>
        <w:jc w:val="left"/>
        <w:rPr>
          <w:rFonts w:ascii="宋体" w:hAnsi="Times New Roman"/>
          <w:color w:val="auto"/>
          <w:kern w:val="0"/>
          <w:szCs w:val="20"/>
        </w:rPr>
      </w:pPr>
      <w:r>
        <w:rPr>
          <w:rFonts w:hint="eastAsia" w:ascii="宋体" w:hAnsi="Times New Roman"/>
          <w:color w:val="auto"/>
          <w:kern w:val="0"/>
          <w:szCs w:val="20"/>
        </w:rPr>
        <w:t xml:space="preserve">注 1：包括筛下物、无机杂质和有机杂质。 </w:t>
      </w:r>
    </w:p>
    <w:p w14:paraId="12E41BDC">
      <w:pPr>
        <w:widowControl/>
        <w:ind w:firstLine="420" w:firstLineChars="200"/>
        <w:jc w:val="left"/>
        <w:rPr>
          <w:rFonts w:ascii="宋体" w:hAnsi="Times New Roman"/>
          <w:color w:val="auto"/>
          <w:kern w:val="0"/>
          <w:szCs w:val="20"/>
        </w:rPr>
      </w:pPr>
      <w:r>
        <w:rPr>
          <w:rFonts w:hint="eastAsia" w:ascii="宋体" w:hAnsi="Times New Roman"/>
          <w:color w:val="auto"/>
          <w:kern w:val="0"/>
          <w:szCs w:val="20"/>
        </w:rPr>
        <w:t xml:space="preserve">注 </w:t>
      </w:r>
      <w:r>
        <w:rPr>
          <w:rFonts w:ascii="宋体" w:hAnsi="Times New Roman"/>
          <w:color w:val="auto"/>
          <w:kern w:val="0"/>
          <w:szCs w:val="20"/>
        </w:rPr>
        <w:t>2</w:t>
      </w:r>
      <w:r>
        <w:rPr>
          <w:rFonts w:hint="eastAsia" w:ascii="宋体" w:hAnsi="Times New Roman"/>
          <w:color w:val="auto"/>
          <w:kern w:val="0"/>
          <w:szCs w:val="20"/>
        </w:rPr>
        <w:t>：筛下物（screenings）是指通过直径1.0</w:t>
      </w:r>
      <w:r>
        <w:rPr>
          <w:rFonts w:ascii="宋体" w:hAnsi="Times New Roman"/>
          <w:color w:val="auto"/>
          <w:kern w:val="0"/>
          <w:szCs w:val="20"/>
        </w:rPr>
        <w:t>mm</w:t>
      </w:r>
      <w:r>
        <w:rPr>
          <w:rFonts w:hint="eastAsia" w:ascii="宋体" w:hAnsi="Times New Roman"/>
          <w:color w:val="auto"/>
          <w:kern w:val="0"/>
          <w:szCs w:val="20"/>
        </w:rPr>
        <w:t>圆孔筛的物质。</w:t>
      </w:r>
    </w:p>
    <w:p w14:paraId="540D8DA7">
      <w:pPr>
        <w:widowControl/>
        <w:ind w:firstLine="420" w:firstLineChars="200"/>
        <w:jc w:val="left"/>
        <w:rPr>
          <w:rFonts w:ascii="宋体" w:hAnsi="Times New Roman"/>
          <w:color w:val="auto"/>
          <w:kern w:val="0"/>
          <w:szCs w:val="20"/>
        </w:rPr>
      </w:pPr>
      <w:r>
        <w:rPr>
          <w:rFonts w:hint="eastAsia" w:ascii="宋体" w:hAnsi="Times New Roman"/>
          <w:color w:val="auto"/>
          <w:kern w:val="0"/>
          <w:szCs w:val="20"/>
        </w:rPr>
        <w:t xml:space="preserve">注 </w:t>
      </w:r>
      <w:r>
        <w:rPr>
          <w:rFonts w:ascii="宋体" w:hAnsi="Times New Roman"/>
          <w:color w:val="auto"/>
          <w:kern w:val="0"/>
          <w:szCs w:val="20"/>
        </w:rPr>
        <w:t>3</w:t>
      </w:r>
      <w:r>
        <w:rPr>
          <w:rFonts w:hint="eastAsia" w:ascii="宋体" w:hAnsi="Times New Roman"/>
          <w:color w:val="auto"/>
          <w:kern w:val="0"/>
          <w:szCs w:val="20"/>
        </w:rPr>
        <w:t>：无机杂质（</w:t>
      </w:r>
      <w:r>
        <w:rPr>
          <w:rFonts w:ascii="宋体" w:hAnsi="Times New Roman"/>
          <w:color w:val="auto"/>
          <w:kern w:val="0"/>
          <w:szCs w:val="20"/>
        </w:rPr>
        <w:t>inorganic impurities</w:t>
      </w:r>
      <w:r>
        <w:rPr>
          <w:rFonts w:hint="eastAsia" w:ascii="宋体" w:hAnsi="Times New Roman"/>
          <w:color w:val="auto"/>
          <w:kern w:val="0"/>
          <w:szCs w:val="20"/>
        </w:rPr>
        <w:t>）是指泥土、砂石、砖瓦块及其他无机物质。</w:t>
      </w:r>
    </w:p>
    <w:p w14:paraId="27002B7E">
      <w:pPr>
        <w:widowControl/>
        <w:ind w:firstLine="420" w:firstLineChars="200"/>
        <w:jc w:val="left"/>
        <w:rPr>
          <w:rFonts w:ascii="宋体" w:hAnsi="Times New Roman"/>
          <w:color w:val="auto"/>
          <w:kern w:val="0"/>
          <w:szCs w:val="20"/>
        </w:rPr>
      </w:pPr>
      <w:r>
        <w:rPr>
          <w:rFonts w:hint="eastAsia" w:ascii="宋体" w:hAnsi="Times New Roman"/>
          <w:color w:val="auto"/>
          <w:kern w:val="0"/>
          <w:szCs w:val="20"/>
        </w:rPr>
        <w:t xml:space="preserve">注 4：有机杂质（organic impurities）是指无使用价值的米粒、非配料米粒及其他有机物质。 </w:t>
      </w:r>
    </w:p>
    <w:p w14:paraId="4C9142DC">
      <w:pPr>
        <w:widowControl/>
        <w:ind w:firstLine="420" w:firstLineChars="200"/>
        <w:jc w:val="left"/>
        <w:rPr>
          <w:rFonts w:ascii="宋体" w:hAnsi="Times New Roman"/>
          <w:color w:val="auto"/>
          <w:kern w:val="0"/>
          <w:szCs w:val="20"/>
        </w:rPr>
      </w:pPr>
      <w:r>
        <w:rPr>
          <w:rFonts w:hint="eastAsia" w:ascii="宋体" w:hAnsi="Times New Roman"/>
          <w:color w:val="auto"/>
          <w:kern w:val="0"/>
          <w:szCs w:val="20"/>
        </w:rPr>
        <w:t xml:space="preserve">注 </w:t>
      </w:r>
      <w:r>
        <w:rPr>
          <w:rFonts w:ascii="宋体" w:hAnsi="Times New Roman"/>
          <w:color w:val="auto"/>
          <w:kern w:val="0"/>
          <w:szCs w:val="20"/>
        </w:rPr>
        <w:t>5</w:t>
      </w:r>
      <w:r>
        <w:rPr>
          <w:rFonts w:hint="eastAsia" w:ascii="宋体" w:hAnsi="Times New Roman"/>
          <w:color w:val="auto"/>
          <w:kern w:val="0"/>
          <w:szCs w:val="20"/>
        </w:rPr>
        <w:t>：无食用价值的米粒是指不能作为混合全谷物米产品进行利用的籽粒，包括完全变色变质的米粒、芽长超过本颗粒长度的米粒等。</w:t>
      </w:r>
    </w:p>
    <w:p w14:paraId="7BBED3B3">
      <w:pPr>
        <w:pStyle w:val="108"/>
        <w:spacing w:before="240" w:after="240" w:line="400" w:lineRule="exact"/>
      </w:pPr>
      <w:r>
        <w:rPr>
          <w:rFonts w:hint="eastAsia"/>
        </w:rPr>
        <w:t>产品分类</w:t>
      </w:r>
    </w:p>
    <w:p w14:paraId="3D1C8493">
      <w:pPr>
        <w:pStyle w:val="60"/>
      </w:pPr>
      <w:r>
        <w:rPr>
          <w:rFonts w:hint="eastAsia"/>
          <w:highlight w:val="none"/>
          <w:lang w:eastAsia="zh-CN"/>
        </w:rPr>
        <w:t>按全谷物含量分类。</w:t>
      </w:r>
    </w:p>
    <w:p w14:paraId="62CC7BCD">
      <w:pPr>
        <w:pStyle w:val="109"/>
        <w:spacing w:before="120" w:after="120" w:line="400" w:lineRule="exact"/>
      </w:pPr>
      <w:r>
        <w:rPr>
          <w:rFonts w:hint="eastAsia"/>
        </w:rPr>
        <w:t>100%混合全谷物米</w:t>
      </w:r>
    </w:p>
    <w:p w14:paraId="59B65863">
      <w:pPr>
        <w:pStyle w:val="60"/>
        <w:spacing w:line="400" w:lineRule="exact"/>
        <w:ind w:firstLine="420"/>
      </w:pPr>
      <w:r>
        <w:rPr>
          <w:rFonts w:hint="eastAsia"/>
        </w:rPr>
        <w:t>全谷物含量</w:t>
      </w:r>
      <w:r>
        <w:t>100%</w:t>
      </w:r>
      <w:r>
        <w:rPr>
          <w:rFonts w:hint="eastAsia"/>
        </w:rPr>
        <w:t>的混合配方米。</w:t>
      </w:r>
    </w:p>
    <w:p w14:paraId="4369C3E7">
      <w:pPr>
        <w:pStyle w:val="109"/>
        <w:spacing w:before="120" w:after="120" w:line="400" w:lineRule="exact"/>
      </w:pPr>
      <w:r>
        <w:rPr>
          <w:rFonts w:hint="eastAsia"/>
        </w:rPr>
        <w:t xml:space="preserve"> ≥50%混合全谷物米</w:t>
      </w:r>
    </w:p>
    <w:p w14:paraId="4B8D4B03">
      <w:pPr>
        <w:pStyle w:val="60"/>
        <w:spacing w:line="400" w:lineRule="exact"/>
        <w:ind w:firstLine="420"/>
      </w:pPr>
      <w:r>
        <w:rPr>
          <w:rFonts w:hint="eastAsia"/>
        </w:rPr>
        <w:t>全谷物含量低于100%且不低于50%的混合配方米。</w:t>
      </w:r>
    </w:p>
    <w:p w14:paraId="0683809E">
      <w:pPr>
        <w:pStyle w:val="109"/>
        <w:spacing w:before="120" w:after="120" w:line="400" w:lineRule="exact"/>
      </w:pPr>
      <w:r>
        <w:rPr>
          <w:rFonts w:hint="eastAsia"/>
        </w:rPr>
        <w:t>≥25%混合全谷物米</w:t>
      </w:r>
    </w:p>
    <w:p w14:paraId="7DE9EEA8">
      <w:pPr>
        <w:pStyle w:val="60"/>
        <w:spacing w:line="400" w:lineRule="exact"/>
        <w:ind w:firstLine="420"/>
      </w:pPr>
      <w:r>
        <w:rPr>
          <w:rFonts w:hint="eastAsia"/>
        </w:rPr>
        <w:t>全谷物含量低于</w:t>
      </w:r>
      <w:r>
        <w:t>50%</w:t>
      </w:r>
      <w:r>
        <w:rPr>
          <w:rFonts w:hint="eastAsia"/>
        </w:rPr>
        <w:t>且不低于</w:t>
      </w:r>
      <w:r>
        <w:t>25%</w:t>
      </w:r>
      <w:r>
        <w:rPr>
          <w:rFonts w:hint="eastAsia"/>
        </w:rPr>
        <w:t>的混合配方米。</w:t>
      </w:r>
    </w:p>
    <w:p w14:paraId="1275AB41">
      <w:pPr>
        <w:pStyle w:val="108"/>
        <w:spacing w:before="240" w:after="240" w:line="400" w:lineRule="exact"/>
      </w:pPr>
      <w:r>
        <w:rPr>
          <w:rFonts w:hint="eastAsia"/>
        </w:rPr>
        <w:t>质量与安全要求</w:t>
      </w:r>
    </w:p>
    <w:p w14:paraId="473798C8">
      <w:pPr>
        <w:pStyle w:val="109"/>
        <w:spacing w:before="120" w:after="120" w:line="400" w:lineRule="exact"/>
      </w:pPr>
      <w:r>
        <w:rPr>
          <w:rFonts w:hint="eastAsia"/>
        </w:rPr>
        <w:t>原料要求</w:t>
      </w:r>
    </w:p>
    <w:p w14:paraId="3AED0507">
      <w:pPr>
        <w:pStyle w:val="109"/>
        <w:numPr>
          <w:ilvl w:val="2"/>
          <w:numId w:val="0"/>
        </w:numPr>
        <w:spacing w:before="120" w:after="120" w:line="400" w:lineRule="exact"/>
        <w:rPr>
          <w:rFonts w:hint="eastAsia" w:ascii="宋体" w:hAnsi="宋体" w:eastAsia="宋体" w:cs="宋体"/>
        </w:rPr>
      </w:pPr>
      <w:r>
        <w:rPr>
          <w:rFonts w:hint="eastAsia" w:eastAsia="宋体"/>
        </w:rPr>
        <w:t>5.1.1</w:t>
      </w:r>
      <w:r>
        <w:rPr>
          <w:rFonts w:hint="eastAsia" w:ascii="宋体" w:hAnsi="宋体" w:eastAsia="宋体" w:cs="宋体"/>
        </w:rPr>
        <w:t xml:space="preserve"> 糙米应符合GB/T 18810的规定。</w:t>
      </w:r>
    </w:p>
    <w:p w14:paraId="31E6A540">
      <w:pPr>
        <w:pStyle w:val="109"/>
        <w:numPr>
          <w:ilvl w:val="2"/>
          <w:numId w:val="0"/>
        </w:numPr>
        <w:spacing w:before="120" w:after="120" w:line="400" w:lineRule="exact"/>
        <w:rPr>
          <w:rFonts w:eastAsia="宋体"/>
        </w:rPr>
      </w:pPr>
      <w:r>
        <w:rPr>
          <w:rFonts w:hint="eastAsia" w:eastAsia="宋体"/>
        </w:rPr>
        <w:t>5.1.2</w:t>
      </w:r>
      <w:r>
        <w:rPr>
          <w:rFonts w:hint="eastAsia" w:ascii="宋体" w:hAnsi="宋体" w:eastAsia="宋体" w:cs="宋体"/>
        </w:rPr>
        <w:t>黑米应符合NY/T 832的规定。</w:t>
      </w:r>
    </w:p>
    <w:p w14:paraId="785E5B91">
      <w:pPr>
        <w:pStyle w:val="109"/>
        <w:numPr>
          <w:ilvl w:val="2"/>
          <w:numId w:val="0"/>
        </w:numPr>
        <w:spacing w:before="120" w:after="120" w:line="400" w:lineRule="exact"/>
      </w:pPr>
      <w:r>
        <w:rPr>
          <w:rFonts w:hint="eastAsia" w:eastAsia="宋体"/>
        </w:rPr>
        <w:t>5.1.3</w:t>
      </w:r>
      <w:r>
        <w:rPr>
          <w:rFonts w:hint="eastAsia" w:ascii="宋体" w:hAnsi="宋体" w:eastAsia="宋体" w:cs="宋体"/>
        </w:rPr>
        <w:t>红米应符合LS/T 3270的规定。</w:t>
      </w:r>
    </w:p>
    <w:p w14:paraId="56EBC947">
      <w:pPr>
        <w:pStyle w:val="109"/>
        <w:numPr>
          <w:ilvl w:val="2"/>
          <w:numId w:val="0"/>
        </w:numPr>
        <w:spacing w:before="120" w:after="120" w:line="400" w:lineRule="exact"/>
        <w:rPr>
          <w:rFonts w:eastAsia="宋体"/>
        </w:rPr>
      </w:pPr>
      <w:r>
        <w:rPr>
          <w:rFonts w:hint="eastAsia"/>
        </w:rPr>
        <w:t>5.1.4</w:t>
      </w:r>
      <w:r>
        <w:rPr>
          <w:rFonts w:hint="eastAsia" w:ascii="宋体" w:hAnsi="宋体" w:eastAsia="宋体" w:cs="宋体"/>
        </w:rPr>
        <w:t>燕麦米应符合LS/T 3260的规定。</w:t>
      </w:r>
    </w:p>
    <w:p w14:paraId="2E958F85">
      <w:pPr>
        <w:pStyle w:val="109"/>
        <w:numPr>
          <w:ilvl w:val="2"/>
          <w:numId w:val="0"/>
        </w:numPr>
        <w:spacing w:before="120" w:after="120" w:line="400" w:lineRule="exact"/>
        <w:rPr>
          <w:rFonts w:eastAsia="宋体"/>
        </w:rPr>
      </w:pPr>
      <w:r>
        <w:rPr>
          <w:rFonts w:hint="eastAsia" w:eastAsia="宋体"/>
        </w:rPr>
        <w:t>5.1.5</w:t>
      </w:r>
      <w:r>
        <w:rPr>
          <w:rFonts w:hint="eastAsia" w:ascii="宋体" w:hAnsi="宋体" w:eastAsia="宋体" w:cs="宋体"/>
        </w:rPr>
        <w:t>青稞米应符合LS/T 3324的规定。</w:t>
      </w:r>
    </w:p>
    <w:p w14:paraId="3AAFBC48">
      <w:pPr>
        <w:pStyle w:val="109"/>
        <w:numPr>
          <w:ilvl w:val="2"/>
          <w:numId w:val="0"/>
        </w:numPr>
        <w:spacing w:before="120" w:after="120" w:line="400" w:lineRule="exact"/>
        <w:rPr>
          <w:rFonts w:eastAsia="宋体"/>
        </w:rPr>
      </w:pPr>
      <w:r>
        <w:rPr>
          <w:rFonts w:hint="eastAsia" w:eastAsia="宋体"/>
        </w:rPr>
        <w:t>5.1.6</w:t>
      </w:r>
      <w:r>
        <w:rPr>
          <w:rFonts w:hint="eastAsia" w:ascii="宋体" w:hAnsi="宋体" w:eastAsia="宋体" w:cs="宋体"/>
        </w:rPr>
        <w:t>藜麦米应符合LS/T 3245的规定。</w:t>
      </w:r>
    </w:p>
    <w:p w14:paraId="02D6DD44">
      <w:pPr>
        <w:pStyle w:val="109"/>
        <w:numPr>
          <w:ilvl w:val="2"/>
          <w:numId w:val="0"/>
        </w:numPr>
        <w:spacing w:before="120" w:after="120" w:line="400" w:lineRule="exact"/>
        <w:rPr>
          <w:rFonts w:eastAsia="宋体"/>
        </w:rPr>
      </w:pPr>
      <w:r>
        <w:rPr>
          <w:rFonts w:hint="eastAsia" w:eastAsia="宋体"/>
        </w:rPr>
        <w:t>5.1.7</w:t>
      </w:r>
      <w:r>
        <w:rPr>
          <w:rFonts w:hint="eastAsia" w:ascii="宋体" w:hAnsi="宋体" w:eastAsia="宋体" w:cs="宋体"/>
        </w:rPr>
        <w:t>留胚米应符合GB/T 42227的规定。</w:t>
      </w:r>
    </w:p>
    <w:p w14:paraId="07F33BA5">
      <w:pPr>
        <w:pStyle w:val="109"/>
        <w:numPr>
          <w:ilvl w:val="2"/>
          <w:numId w:val="0"/>
        </w:numPr>
        <w:spacing w:before="120" w:after="120" w:line="400" w:lineRule="exact"/>
      </w:pPr>
      <w:r>
        <w:rPr>
          <w:rFonts w:hint="eastAsia" w:eastAsia="宋体"/>
        </w:rPr>
        <w:t>5.1.8</w:t>
      </w:r>
      <w:r>
        <w:rPr>
          <w:rFonts w:hint="eastAsia" w:ascii="宋体" w:hAnsi="宋体" w:eastAsia="宋体" w:cs="宋体"/>
          <w:lang w:eastAsia="zh-CN"/>
        </w:rPr>
        <w:t>大</w:t>
      </w:r>
      <w:r>
        <w:rPr>
          <w:rFonts w:hint="eastAsia" w:ascii="宋体" w:hAnsi="宋体" w:eastAsia="宋体" w:cs="宋体"/>
        </w:rPr>
        <w:t>米应符合GB/T 1354的规定。</w:t>
      </w:r>
    </w:p>
    <w:p w14:paraId="1943D66E">
      <w:pPr>
        <w:pStyle w:val="109"/>
        <w:spacing w:before="120" w:after="120" w:line="400" w:lineRule="exact"/>
      </w:pPr>
      <w:r>
        <w:rPr>
          <w:rFonts w:hint="eastAsia"/>
        </w:rPr>
        <w:t>质量指标</w:t>
      </w:r>
    </w:p>
    <w:p w14:paraId="5A85E7E2">
      <w:pPr>
        <w:pStyle w:val="60"/>
        <w:spacing w:line="400" w:lineRule="exact"/>
        <w:ind w:firstLine="420"/>
      </w:pPr>
      <w:r>
        <w:rPr>
          <w:rFonts w:hint="eastAsia"/>
        </w:rPr>
        <w:t>应符合表1的规定。</w:t>
      </w:r>
    </w:p>
    <w:p w14:paraId="5E1DA0F4">
      <w:pPr>
        <w:pStyle w:val="116"/>
        <w:spacing w:before="120" w:after="120" w:line="400" w:lineRule="exact"/>
        <w:rPr>
          <w:highlight w:val="none"/>
        </w:rPr>
      </w:pPr>
      <w:r>
        <w:rPr>
          <w:rFonts w:hint="eastAsia"/>
          <w:highlight w:val="none"/>
        </w:rPr>
        <w:t xml:space="preserve">辽宁好粮油 </w:t>
      </w:r>
      <w:r>
        <w:rPr>
          <w:rFonts w:hint="eastAsia" w:hAnsi="黑体"/>
          <w:highlight w:val="none"/>
        </w:rPr>
        <w:t>混合全谷物米</w:t>
      </w:r>
      <w:r>
        <w:rPr>
          <w:rFonts w:hint="eastAsia"/>
          <w:highlight w:val="none"/>
        </w:rPr>
        <w:t>质量指标</w:t>
      </w:r>
    </w:p>
    <w:tbl>
      <w:tblPr>
        <w:tblStyle w:val="30"/>
        <w:tblW w:w="511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28"/>
        <w:gridCol w:w="799"/>
        <w:gridCol w:w="1950"/>
        <w:gridCol w:w="2061"/>
        <w:gridCol w:w="2143"/>
        <w:gridCol w:w="2205"/>
      </w:tblGrid>
      <w:tr w14:paraId="63B529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1" w:hRule="atLeast"/>
          <w:tblHeader/>
          <w:jc w:val="center"/>
        </w:trPr>
        <w:tc>
          <w:tcPr>
            <w:tcW w:w="223" w:type="pct"/>
            <w:vMerge w:val="restart"/>
            <w:tcBorders>
              <w:top w:val="single" w:color="auto" w:sz="8" w:space="0"/>
            </w:tcBorders>
            <w:vAlign w:val="center"/>
          </w:tcPr>
          <w:p w14:paraId="31B49CB0">
            <w:pPr>
              <w:pStyle w:val="182"/>
              <w:spacing w:line="400" w:lineRule="exact"/>
              <w:rPr>
                <w:highlight w:val="none"/>
              </w:rPr>
            </w:pPr>
            <w:r>
              <w:rPr>
                <w:rFonts w:hint="eastAsia"/>
                <w:highlight w:val="none"/>
              </w:rPr>
              <w:t>指标类别</w:t>
            </w:r>
          </w:p>
        </w:tc>
        <w:tc>
          <w:tcPr>
            <w:tcW w:w="1434" w:type="pct"/>
            <w:gridSpan w:val="2"/>
            <w:vMerge w:val="restart"/>
            <w:tcBorders>
              <w:top w:val="single" w:color="auto" w:sz="8" w:space="0"/>
            </w:tcBorders>
            <w:vAlign w:val="center"/>
          </w:tcPr>
          <w:p w14:paraId="78EBE2ED">
            <w:pPr>
              <w:pStyle w:val="182"/>
              <w:spacing w:line="400" w:lineRule="exact"/>
              <w:rPr>
                <w:highlight w:val="none"/>
              </w:rPr>
            </w:pPr>
            <w:r>
              <w:rPr>
                <w:rFonts w:hint="eastAsia"/>
                <w:highlight w:val="none"/>
              </w:rPr>
              <w:t>项    目</w:t>
            </w:r>
          </w:p>
        </w:tc>
        <w:tc>
          <w:tcPr>
            <w:tcW w:w="3341" w:type="pct"/>
            <w:gridSpan w:val="3"/>
            <w:tcBorders>
              <w:top w:val="single" w:color="auto" w:sz="8" w:space="0"/>
              <w:bottom w:val="single" w:color="auto" w:sz="8" w:space="0"/>
            </w:tcBorders>
            <w:vAlign w:val="center"/>
          </w:tcPr>
          <w:p w14:paraId="0C6D99E2">
            <w:pPr>
              <w:pStyle w:val="182"/>
              <w:spacing w:line="400" w:lineRule="exact"/>
              <w:rPr>
                <w:highlight w:val="none"/>
              </w:rPr>
            </w:pPr>
            <w:r>
              <w:rPr>
                <w:rFonts w:hint="eastAsia"/>
                <w:highlight w:val="none"/>
              </w:rPr>
              <w:t>指    标</w:t>
            </w:r>
          </w:p>
        </w:tc>
      </w:tr>
      <w:tr w14:paraId="61AB1D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1" w:hRule="atLeast"/>
          <w:tblHeader/>
          <w:jc w:val="center"/>
        </w:trPr>
        <w:tc>
          <w:tcPr>
            <w:tcW w:w="223" w:type="pct"/>
            <w:vMerge w:val="continue"/>
            <w:tcBorders>
              <w:bottom w:val="single" w:color="auto" w:sz="8" w:space="0"/>
            </w:tcBorders>
            <w:vAlign w:val="center"/>
          </w:tcPr>
          <w:p w14:paraId="37FD48C8">
            <w:pPr>
              <w:pStyle w:val="182"/>
              <w:spacing w:line="400" w:lineRule="exact"/>
              <w:rPr>
                <w:highlight w:val="none"/>
              </w:rPr>
            </w:pPr>
          </w:p>
        </w:tc>
        <w:tc>
          <w:tcPr>
            <w:tcW w:w="1434" w:type="pct"/>
            <w:gridSpan w:val="2"/>
            <w:vMerge w:val="continue"/>
            <w:tcBorders>
              <w:bottom w:val="single" w:color="auto" w:sz="8" w:space="0"/>
            </w:tcBorders>
            <w:vAlign w:val="center"/>
          </w:tcPr>
          <w:p w14:paraId="0ADDFF25">
            <w:pPr>
              <w:pStyle w:val="182"/>
              <w:spacing w:line="400" w:lineRule="exact"/>
              <w:rPr>
                <w:highlight w:val="none"/>
              </w:rPr>
            </w:pPr>
          </w:p>
        </w:tc>
        <w:tc>
          <w:tcPr>
            <w:tcW w:w="1075" w:type="pct"/>
            <w:tcBorders>
              <w:top w:val="single" w:color="auto" w:sz="8" w:space="0"/>
              <w:bottom w:val="single" w:color="auto" w:sz="8" w:space="0"/>
            </w:tcBorders>
            <w:vAlign w:val="center"/>
          </w:tcPr>
          <w:p w14:paraId="0191E3CB">
            <w:pPr>
              <w:pStyle w:val="182"/>
              <w:spacing w:line="400" w:lineRule="exact"/>
              <w:rPr>
                <w:highlight w:val="none"/>
              </w:rPr>
            </w:pPr>
            <w:r>
              <w:rPr>
                <w:rFonts w:hint="eastAsia" w:ascii="黑体" w:hAnsi="黑体" w:eastAsia="黑体" w:cs="黑体"/>
                <w:color w:val="000000"/>
                <w:sz w:val="19"/>
                <w:szCs w:val="19"/>
                <w:highlight w:val="none"/>
                <w:lang w:bidi="ar"/>
              </w:rPr>
              <w:t>100%</w:t>
            </w:r>
            <w:r>
              <w:rPr>
                <w:rFonts w:hint="eastAsia" w:ascii="黑体" w:hAnsi="黑体" w:eastAsia="黑体" w:cs="黑体"/>
                <w:highlight w:val="none"/>
              </w:rPr>
              <w:t>混合全谷物米</w:t>
            </w:r>
          </w:p>
        </w:tc>
        <w:tc>
          <w:tcPr>
            <w:tcW w:w="1118" w:type="pct"/>
            <w:tcBorders>
              <w:top w:val="single" w:color="auto" w:sz="8" w:space="0"/>
              <w:bottom w:val="single" w:color="auto" w:sz="8" w:space="0"/>
            </w:tcBorders>
            <w:vAlign w:val="center"/>
          </w:tcPr>
          <w:p w14:paraId="54DCA2CF">
            <w:pPr>
              <w:pStyle w:val="182"/>
              <w:spacing w:line="400" w:lineRule="exact"/>
              <w:rPr>
                <w:rFonts w:ascii="黑体" w:hAnsi="黑体" w:eastAsia="黑体" w:cs="黑体"/>
                <w:color w:val="000000"/>
                <w:sz w:val="19"/>
                <w:szCs w:val="19"/>
                <w:highlight w:val="none"/>
                <w:lang w:bidi="ar"/>
              </w:rPr>
            </w:pPr>
            <w:r>
              <w:rPr>
                <w:rFonts w:ascii="黑体" w:hAnsi="黑体" w:eastAsia="黑体" w:cs="黑体"/>
                <w:color w:val="000000"/>
                <w:sz w:val="19"/>
                <w:szCs w:val="19"/>
                <w:highlight w:val="none"/>
                <w:lang w:bidi="ar"/>
              </w:rPr>
              <w:t>≥50%</w:t>
            </w:r>
            <w:r>
              <w:rPr>
                <w:rFonts w:hint="eastAsia" w:ascii="黑体" w:hAnsi="黑体" w:eastAsia="黑体" w:cs="黑体"/>
                <w:color w:val="000000"/>
                <w:sz w:val="19"/>
                <w:szCs w:val="19"/>
                <w:highlight w:val="none"/>
                <w:lang w:bidi="ar"/>
              </w:rPr>
              <w:t>混合全谷物米</w:t>
            </w:r>
          </w:p>
        </w:tc>
        <w:tc>
          <w:tcPr>
            <w:tcW w:w="1147" w:type="pct"/>
            <w:tcBorders>
              <w:top w:val="single" w:color="auto" w:sz="8" w:space="0"/>
              <w:bottom w:val="single" w:color="auto" w:sz="8" w:space="0"/>
            </w:tcBorders>
            <w:vAlign w:val="center"/>
          </w:tcPr>
          <w:p w14:paraId="2F5EC4A8">
            <w:pPr>
              <w:pStyle w:val="182"/>
              <w:spacing w:line="400" w:lineRule="exact"/>
              <w:rPr>
                <w:rFonts w:ascii="黑体" w:hAnsi="黑体" w:eastAsia="黑体" w:cs="黑体"/>
                <w:color w:val="000000"/>
                <w:sz w:val="19"/>
                <w:szCs w:val="19"/>
                <w:highlight w:val="none"/>
                <w:lang w:bidi="ar"/>
              </w:rPr>
            </w:pPr>
            <w:r>
              <w:rPr>
                <w:rFonts w:ascii="黑体" w:hAnsi="黑体" w:eastAsia="黑体" w:cs="黑体"/>
                <w:color w:val="000000"/>
                <w:sz w:val="19"/>
                <w:szCs w:val="19"/>
                <w:highlight w:val="none"/>
                <w:lang w:bidi="ar"/>
              </w:rPr>
              <w:t>≥25%</w:t>
            </w:r>
            <w:r>
              <w:rPr>
                <w:rFonts w:hint="eastAsia" w:ascii="黑体" w:hAnsi="黑体" w:eastAsia="黑体" w:cs="黑体"/>
                <w:color w:val="000000"/>
                <w:sz w:val="19"/>
                <w:szCs w:val="19"/>
                <w:highlight w:val="none"/>
                <w:lang w:bidi="ar"/>
              </w:rPr>
              <w:t>混合全谷物米</w:t>
            </w:r>
          </w:p>
        </w:tc>
      </w:tr>
      <w:tr w14:paraId="18B9BB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1" w:hRule="atLeast"/>
          <w:tblHeader/>
          <w:jc w:val="center"/>
        </w:trPr>
        <w:tc>
          <w:tcPr>
            <w:tcW w:w="223" w:type="pct"/>
            <w:vMerge w:val="restart"/>
            <w:tcBorders>
              <w:top w:val="single" w:color="auto" w:sz="8" w:space="0"/>
            </w:tcBorders>
            <w:vAlign w:val="center"/>
          </w:tcPr>
          <w:p w14:paraId="5B3F8DC5">
            <w:pPr>
              <w:pStyle w:val="182"/>
              <w:spacing w:line="400" w:lineRule="exact"/>
              <w:rPr>
                <w:highlight w:val="none"/>
              </w:rPr>
            </w:pPr>
            <w:r>
              <w:rPr>
                <w:rFonts w:hint="eastAsia"/>
                <w:highlight w:val="none"/>
              </w:rPr>
              <w:t>基础指标</w:t>
            </w:r>
          </w:p>
        </w:tc>
        <w:tc>
          <w:tcPr>
            <w:tcW w:w="1434" w:type="pct"/>
            <w:gridSpan w:val="2"/>
            <w:tcBorders>
              <w:top w:val="single" w:color="auto" w:sz="8" w:space="0"/>
              <w:bottom w:val="single" w:color="auto" w:sz="8" w:space="0"/>
            </w:tcBorders>
            <w:vAlign w:val="center"/>
          </w:tcPr>
          <w:p w14:paraId="261E817F">
            <w:pPr>
              <w:pStyle w:val="182"/>
              <w:spacing w:line="400" w:lineRule="exact"/>
              <w:rPr>
                <w:highlight w:val="none"/>
              </w:rPr>
            </w:pPr>
            <w:r>
              <w:rPr>
                <w:rFonts w:hint="eastAsia"/>
                <w:highlight w:val="none"/>
              </w:rPr>
              <w:t>全谷物含量%</w:t>
            </w:r>
          </w:p>
        </w:tc>
        <w:tc>
          <w:tcPr>
            <w:tcW w:w="1075" w:type="pct"/>
            <w:tcBorders>
              <w:top w:val="single" w:color="auto" w:sz="8" w:space="0"/>
              <w:bottom w:val="single" w:color="auto" w:sz="8" w:space="0"/>
            </w:tcBorders>
            <w:vAlign w:val="center"/>
          </w:tcPr>
          <w:p w14:paraId="7B5ABB14">
            <w:pPr>
              <w:pStyle w:val="182"/>
              <w:spacing w:line="400" w:lineRule="exact"/>
              <w:rPr>
                <w:highlight w:val="none"/>
              </w:rPr>
            </w:pPr>
            <w:r>
              <w:rPr>
                <w:rFonts w:hint="eastAsia"/>
                <w:highlight w:val="none"/>
              </w:rPr>
              <w:t>100</w:t>
            </w:r>
          </w:p>
        </w:tc>
        <w:tc>
          <w:tcPr>
            <w:tcW w:w="1118" w:type="pct"/>
            <w:tcBorders>
              <w:top w:val="single" w:color="auto" w:sz="8" w:space="0"/>
              <w:bottom w:val="single" w:color="auto" w:sz="8" w:space="0"/>
            </w:tcBorders>
            <w:vAlign w:val="center"/>
          </w:tcPr>
          <w:p w14:paraId="62C7D537">
            <w:pPr>
              <w:pStyle w:val="182"/>
              <w:spacing w:line="400" w:lineRule="exact"/>
              <w:rPr>
                <w:highlight w:val="none"/>
              </w:rPr>
            </w:pPr>
            <w:r>
              <w:rPr>
                <w:rFonts w:hint="eastAsia"/>
                <w:highlight w:val="none"/>
              </w:rPr>
              <w:t>50-100</w:t>
            </w:r>
          </w:p>
        </w:tc>
        <w:tc>
          <w:tcPr>
            <w:tcW w:w="1147" w:type="pct"/>
            <w:tcBorders>
              <w:top w:val="single" w:color="auto" w:sz="8" w:space="0"/>
              <w:bottom w:val="single" w:color="auto" w:sz="8" w:space="0"/>
            </w:tcBorders>
            <w:vAlign w:val="center"/>
          </w:tcPr>
          <w:p w14:paraId="274B8F00">
            <w:pPr>
              <w:pStyle w:val="182"/>
              <w:spacing w:line="400" w:lineRule="exact"/>
              <w:rPr>
                <w:highlight w:val="none"/>
              </w:rPr>
            </w:pPr>
            <w:r>
              <w:rPr>
                <w:rFonts w:hint="eastAsia"/>
                <w:highlight w:val="none"/>
              </w:rPr>
              <w:t>25-50</w:t>
            </w:r>
          </w:p>
        </w:tc>
      </w:tr>
      <w:tr w14:paraId="4174A2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223" w:type="pct"/>
            <w:vMerge w:val="continue"/>
            <w:vAlign w:val="center"/>
          </w:tcPr>
          <w:p w14:paraId="2861E365">
            <w:pPr>
              <w:pStyle w:val="182"/>
              <w:spacing w:line="400" w:lineRule="exact"/>
              <w:rPr>
                <w:highlight w:val="none"/>
              </w:rPr>
            </w:pPr>
          </w:p>
        </w:tc>
        <w:tc>
          <w:tcPr>
            <w:tcW w:w="417" w:type="pct"/>
            <w:vMerge w:val="restart"/>
            <w:tcBorders>
              <w:top w:val="single" w:color="auto" w:sz="8" w:space="0"/>
            </w:tcBorders>
            <w:vAlign w:val="center"/>
          </w:tcPr>
          <w:p w14:paraId="4E5D63B8">
            <w:pPr>
              <w:pStyle w:val="182"/>
              <w:spacing w:line="400" w:lineRule="exact"/>
              <w:jc w:val="both"/>
              <w:rPr>
                <w:highlight w:val="none"/>
              </w:rPr>
            </w:pPr>
            <w:r>
              <w:rPr>
                <w:rFonts w:hint="eastAsia"/>
                <w:highlight w:val="none"/>
              </w:rPr>
              <w:t>杂质含量</w:t>
            </w:r>
          </w:p>
        </w:tc>
        <w:tc>
          <w:tcPr>
            <w:tcW w:w="1017" w:type="pct"/>
            <w:tcBorders>
              <w:top w:val="single" w:color="auto" w:sz="8" w:space="0"/>
            </w:tcBorders>
            <w:vAlign w:val="center"/>
          </w:tcPr>
          <w:p w14:paraId="6FC7755D">
            <w:pPr>
              <w:pStyle w:val="182"/>
              <w:spacing w:line="400" w:lineRule="exact"/>
              <w:rPr>
                <w:highlight w:val="none"/>
              </w:rPr>
            </w:pPr>
            <w:r>
              <w:rPr>
                <w:rFonts w:hint="eastAsia"/>
                <w:highlight w:val="none"/>
              </w:rPr>
              <w:t>总量/%                ≤</w:t>
            </w:r>
          </w:p>
        </w:tc>
        <w:tc>
          <w:tcPr>
            <w:tcW w:w="3341" w:type="pct"/>
            <w:gridSpan w:val="3"/>
            <w:tcBorders>
              <w:top w:val="single" w:color="auto" w:sz="8" w:space="0"/>
            </w:tcBorders>
            <w:vAlign w:val="center"/>
          </w:tcPr>
          <w:p w14:paraId="51EE63B9">
            <w:pPr>
              <w:pStyle w:val="182"/>
              <w:spacing w:line="400" w:lineRule="exact"/>
              <w:rPr>
                <w:highlight w:val="none"/>
              </w:rPr>
            </w:pPr>
            <w:r>
              <w:rPr>
                <w:rFonts w:hint="eastAsia"/>
                <w:highlight w:val="none"/>
              </w:rPr>
              <w:t>0.25</w:t>
            </w:r>
          </w:p>
        </w:tc>
      </w:tr>
      <w:tr w14:paraId="2ECE4B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jc w:val="center"/>
        </w:trPr>
        <w:tc>
          <w:tcPr>
            <w:tcW w:w="223" w:type="pct"/>
            <w:vMerge w:val="continue"/>
            <w:vAlign w:val="center"/>
          </w:tcPr>
          <w:p w14:paraId="328F959D">
            <w:pPr>
              <w:pStyle w:val="182"/>
              <w:spacing w:line="400" w:lineRule="exact"/>
              <w:rPr>
                <w:highlight w:val="none"/>
              </w:rPr>
            </w:pPr>
          </w:p>
        </w:tc>
        <w:tc>
          <w:tcPr>
            <w:tcW w:w="417" w:type="pct"/>
            <w:vMerge w:val="continue"/>
            <w:vAlign w:val="center"/>
          </w:tcPr>
          <w:p w14:paraId="496B786F">
            <w:pPr>
              <w:pStyle w:val="182"/>
              <w:spacing w:line="400" w:lineRule="exact"/>
              <w:rPr>
                <w:highlight w:val="none"/>
              </w:rPr>
            </w:pPr>
          </w:p>
        </w:tc>
        <w:tc>
          <w:tcPr>
            <w:tcW w:w="1017" w:type="pct"/>
            <w:vAlign w:val="center"/>
          </w:tcPr>
          <w:p w14:paraId="3AF81058">
            <w:pPr>
              <w:pStyle w:val="182"/>
              <w:spacing w:line="400" w:lineRule="exact"/>
              <w:rPr>
                <w:highlight w:val="none"/>
              </w:rPr>
            </w:pPr>
            <w:r>
              <w:rPr>
                <w:spacing w:val="-1"/>
                <w:highlight w:val="none"/>
              </w:rPr>
              <w:t>其中：无机杂质含量/%</w:t>
            </w:r>
            <w:r>
              <w:rPr>
                <w:rFonts w:hint="eastAsia"/>
                <w:spacing w:val="-1"/>
                <w:highlight w:val="none"/>
              </w:rPr>
              <w:t xml:space="preserve">  </w:t>
            </w:r>
            <w:r>
              <w:rPr>
                <w:rFonts w:hint="eastAsia"/>
                <w:highlight w:val="none"/>
              </w:rPr>
              <w:t>≤</w:t>
            </w:r>
          </w:p>
        </w:tc>
        <w:tc>
          <w:tcPr>
            <w:tcW w:w="3341" w:type="pct"/>
            <w:gridSpan w:val="3"/>
            <w:vAlign w:val="center"/>
          </w:tcPr>
          <w:p w14:paraId="5997C786">
            <w:pPr>
              <w:pStyle w:val="182"/>
              <w:spacing w:line="400" w:lineRule="exact"/>
              <w:rPr>
                <w:highlight w:val="none"/>
              </w:rPr>
            </w:pPr>
            <w:r>
              <w:rPr>
                <w:rFonts w:hint="eastAsia"/>
                <w:highlight w:val="none"/>
              </w:rPr>
              <w:t>0.02</w:t>
            </w:r>
          </w:p>
        </w:tc>
      </w:tr>
      <w:tr w14:paraId="6B1ED8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jc w:val="center"/>
        </w:trPr>
        <w:tc>
          <w:tcPr>
            <w:tcW w:w="223" w:type="pct"/>
            <w:vMerge w:val="continue"/>
            <w:vAlign w:val="center"/>
          </w:tcPr>
          <w:p w14:paraId="3B307614">
            <w:pPr>
              <w:pStyle w:val="182"/>
              <w:spacing w:line="400" w:lineRule="exact"/>
              <w:rPr>
                <w:highlight w:val="none"/>
              </w:rPr>
            </w:pPr>
          </w:p>
        </w:tc>
        <w:tc>
          <w:tcPr>
            <w:tcW w:w="1434" w:type="pct"/>
            <w:gridSpan w:val="2"/>
            <w:vAlign w:val="center"/>
          </w:tcPr>
          <w:p w14:paraId="4D2EC32B">
            <w:pPr>
              <w:pStyle w:val="182"/>
              <w:spacing w:line="400" w:lineRule="exact"/>
              <w:ind w:firstLine="180" w:firstLineChars="100"/>
              <w:jc w:val="both"/>
              <w:rPr>
                <w:highlight w:val="none"/>
              </w:rPr>
            </w:pPr>
            <w:r>
              <w:rPr>
                <w:rFonts w:hint="eastAsia"/>
                <w:highlight w:val="none"/>
              </w:rPr>
              <w:t>不完善粒含量/%</w:t>
            </w:r>
            <w:r>
              <w:rPr>
                <w:rFonts w:hint="eastAsia"/>
                <w:spacing w:val="-1"/>
                <w:highlight w:val="none"/>
              </w:rPr>
              <w:t xml:space="preserve">  </w:t>
            </w:r>
            <w:r>
              <w:rPr>
                <w:rFonts w:hint="eastAsia"/>
                <w:highlight w:val="none"/>
              </w:rPr>
              <w:t>≤</w:t>
            </w:r>
          </w:p>
        </w:tc>
        <w:tc>
          <w:tcPr>
            <w:tcW w:w="3341" w:type="pct"/>
            <w:gridSpan w:val="3"/>
            <w:vAlign w:val="center"/>
          </w:tcPr>
          <w:p w14:paraId="160223A9">
            <w:pPr>
              <w:pStyle w:val="182"/>
              <w:spacing w:line="400" w:lineRule="exact"/>
              <w:rPr>
                <w:highlight w:val="none"/>
              </w:rPr>
            </w:pPr>
            <w:r>
              <w:rPr>
                <w:rFonts w:hint="eastAsia"/>
                <w:highlight w:val="none"/>
              </w:rPr>
              <w:t>3.0</w:t>
            </w:r>
          </w:p>
        </w:tc>
      </w:tr>
      <w:tr w14:paraId="25831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3" w:hRule="atLeast"/>
          <w:jc w:val="center"/>
        </w:trPr>
        <w:tc>
          <w:tcPr>
            <w:tcW w:w="223" w:type="pct"/>
            <w:vMerge w:val="continue"/>
            <w:vAlign w:val="center"/>
          </w:tcPr>
          <w:p w14:paraId="196357C7">
            <w:pPr>
              <w:pStyle w:val="182"/>
              <w:spacing w:line="400" w:lineRule="exact"/>
              <w:rPr>
                <w:highlight w:val="none"/>
              </w:rPr>
            </w:pPr>
          </w:p>
        </w:tc>
        <w:tc>
          <w:tcPr>
            <w:tcW w:w="1434" w:type="pct"/>
            <w:gridSpan w:val="2"/>
            <w:vAlign w:val="center"/>
          </w:tcPr>
          <w:p w14:paraId="132B1B3A">
            <w:pPr>
              <w:pStyle w:val="182"/>
              <w:spacing w:line="400" w:lineRule="exact"/>
              <w:ind w:firstLine="180" w:firstLineChars="100"/>
              <w:jc w:val="both"/>
              <w:rPr>
                <w:highlight w:val="none"/>
              </w:rPr>
            </w:pPr>
            <w:r>
              <w:rPr>
                <w:highlight w:val="none"/>
              </w:rPr>
              <w:t>配料完整</w:t>
            </w:r>
            <w:r>
              <w:rPr>
                <w:rFonts w:hint="eastAsia"/>
                <w:highlight w:val="none"/>
              </w:rPr>
              <w:t>米</w:t>
            </w:r>
            <w:r>
              <w:rPr>
                <w:highlight w:val="none"/>
              </w:rPr>
              <w:t>率</w:t>
            </w:r>
            <w:r>
              <w:rPr>
                <w:rFonts w:hint="eastAsia"/>
                <w:highlight w:val="none"/>
              </w:rPr>
              <w:t>/%</w:t>
            </w:r>
            <w:r>
              <w:rPr>
                <w:rFonts w:hint="eastAsia"/>
                <w:spacing w:val="-1"/>
                <w:highlight w:val="none"/>
              </w:rPr>
              <w:t xml:space="preserve">    ≥</w:t>
            </w:r>
          </w:p>
        </w:tc>
        <w:tc>
          <w:tcPr>
            <w:tcW w:w="3341" w:type="pct"/>
            <w:gridSpan w:val="3"/>
            <w:vAlign w:val="center"/>
          </w:tcPr>
          <w:p w14:paraId="77C040CE">
            <w:pPr>
              <w:pStyle w:val="182"/>
              <w:spacing w:line="400" w:lineRule="exact"/>
              <w:rPr>
                <w:highlight w:val="none"/>
              </w:rPr>
            </w:pPr>
            <w:r>
              <w:rPr>
                <w:rFonts w:hint="eastAsia"/>
                <w:highlight w:val="none"/>
              </w:rPr>
              <w:t>90</w:t>
            </w:r>
          </w:p>
        </w:tc>
      </w:tr>
      <w:tr w14:paraId="074F1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jc w:val="center"/>
        </w:trPr>
        <w:tc>
          <w:tcPr>
            <w:tcW w:w="223" w:type="pct"/>
            <w:vMerge w:val="continue"/>
            <w:vAlign w:val="center"/>
          </w:tcPr>
          <w:p w14:paraId="31EE9885">
            <w:pPr>
              <w:pStyle w:val="182"/>
              <w:spacing w:line="400" w:lineRule="exact"/>
              <w:rPr>
                <w:highlight w:val="none"/>
              </w:rPr>
            </w:pPr>
          </w:p>
        </w:tc>
        <w:tc>
          <w:tcPr>
            <w:tcW w:w="1434" w:type="pct"/>
            <w:gridSpan w:val="2"/>
            <w:vAlign w:val="center"/>
          </w:tcPr>
          <w:p w14:paraId="295DF119">
            <w:pPr>
              <w:pStyle w:val="182"/>
              <w:spacing w:line="400" w:lineRule="exact"/>
              <w:ind w:firstLine="180" w:firstLineChars="100"/>
              <w:jc w:val="both"/>
              <w:rPr>
                <w:highlight w:val="none"/>
              </w:rPr>
            </w:pPr>
            <w:r>
              <w:rPr>
                <w:rFonts w:hint="eastAsia"/>
                <w:highlight w:val="none"/>
              </w:rPr>
              <w:t>水分含量/%</w:t>
            </w:r>
            <w:r>
              <w:rPr>
                <w:rFonts w:hint="eastAsia"/>
                <w:spacing w:val="-1"/>
                <w:highlight w:val="none"/>
              </w:rPr>
              <w:t xml:space="preserve">   </w:t>
            </w:r>
            <w:r>
              <w:rPr>
                <w:rFonts w:hint="eastAsia"/>
                <w:highlight w:val="none"/>
              </w:rPr>
              <w:t>≤</w:t>
            </w:r>
          </w:p>
        </w:tc>
        <w:tc>
          <w:tcPr>
            <w:tcW w:w="3341" w:type="pct"/>
            <w:gridSpan w:val="3"/>
            <w:vAlign w:val="center"/>
          </w:tcPr>
          <w:p w14:paraId="13F70A33">
            <w:pPr>
              <w:pStyle w:val="182"/>
              <w:spacing w:line="400" w:lineRule="exact"/>
              <w:rPr>
                <w:rFonts w:hint="eastAsia" w:eastAsia="宋体"/>
                <w:highlight w:val="none"/>
                <w:lang w:eastAsia="zh-CN"/>
              </w:rPr>
            </w:pPr>
            <w:r>
              <w:rPr>
                <w:rFonts w:hint="eastAsia"/>
                <w:highlight w:val="none"/>
              </w:rPr>
              <w:t>14.</w:t>
            </w:r>
            <w:r>
              <w:rPr>
                <w:rFonts w:hint="eastAsia"/>
                <w:highlight w:val="none"/>
                <w:lang w:eastAsia="zh-CN"/>
              </w:rPr>
              <w:t>5</w:t>
            </w:r>
          </w:p>
        </w:tc>
      </w:tr>
      <w:tr w14:paraId="67A46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jc w:val="center"/>
        </w:trPr>
        <w:tc>
          <w:tcPr>
            <w:tcW w:w="223" w:type="pct"/>
            <w:vMerge w:val="continue"/>
            <w:vAlign w:val="center"/>
          </w:tcPr>
          <w:p w14:paraId="7F2F839F">
            <w:pPr>
              <w:pStyle w:val="182"/>
              <w:spacing w:line="400" w:lineRule="exact"/>
            </w:pPr>
          </w:p>
        </w:tc>
        <w:tc>
          <w:tcPr>
            <w:tcW w:w="1434" w:type="pct"/>
            <w:gridSpan w:val="2"/>
            <w:vAlign w:val="center"/>
          </w:tcPr>
          <w:p w14:paraId="5CD96E2F">
            <w:pPr>
              <w:pStyle w:val="182"/>
              <w:spacing w:line="400" w:lineRule="exact"/>
              <w:ind w:firstLine="180" w:firstLineChars="100"/>
              <w:jc w:val="both"/>
            </w:pPr>
            <w:r>
              <w:rPr>
                <w:rFonts w:hint="eastAsia"/>
              </w:rPr>
              <w:t>糊化时间/min</w:t>
            </w:r>
            <w:r>
              <w:rPr>
                <w:rFonts w:hint="eastAsia"/>
                <w:spacing w:val="-1"/>
              </w:rPr>
              <w:t xml:space="preserve">  </w:t>
            </w:r>
            <w:r>
              <w:rPr>
                <w:rFonts w:hint="eastAsia"/>
              </w:rPr>
              <w:t xml:space="preserve">≤ </w:t>
            </w:r>
            <w:r>
              <w:rPr>
                <w:rFonts w:hint="eastAsia"/>
                <w:spacing w:val="-1"/>
              </w:rPr>
              <w:t xml:space="preserve">                    </w:t>
            </w:r>
          </w:p>
        </w:tc>
        <w:tc>
          <w:tcPr>
            <w:tcW w:w="3341" w:type="pct"/>
            <w:gridSpan w:val="3"/>
            <w:vAlign w:val="center"/>
          </w:tcPr>
          <w:p w14:paraId="1C64F1FE">
            <w:pPr>
              <w:pStyle w:val="182"/>
              <w:spacing w:line="400" w:lineRule="exact"/>
            </w:pPr>
            <w:r>
              <w:rPr>
                <w:rFonts w:hint="eastAsia"/>
              </w:rPr>
              <w:t>40</w:t>
            </w:r>
          </w:p>
        </w:tc>
      </w:tr>
      <w:tr w14:paraId="0792F6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jc w:val="center"/>
        </w:trPr>
        <w:tc>
          <w:tcPr>
            <w:tcW w:w="223" w:type="pct"/>
            <w:vMerge w:val="continue"/>
            <w:vAlign w:val="center"/>
          </w:tcPr>
          <w:p w14:paraId="29F096ED">
            <w:pPr>
              <w:pStyle w:val="182"/>
              <w:spacing w:line="400" w:lineRule="exact"/>
            </w:pPr>
          </w:p>
        </w:tc>
        <w:tc>
          <w:tcPr>
            <w:tcW w:w="1434" w:type="pct"/>
            <w:gridSpan w:val="2"/>
            <w:vAlign w:val="center"/>
          </w:tcPr>
          <w:p w14:paraId="0DDAD0A0">
            <w:pPr>
              <w:pStyle w:val="182"/>
              <w:spacing w:line="400" w:lineRule="exact"/>
              <w:ind w:firstLine="180" w:firstLineChars="100"/>
              <w:jc w:val="both"/>
            </w:pPr>
            <w:r>
              <w:rPr>
                <w:rFonts w:hint="eastAsia"/>
              </w:rPr>
              <w:t>色泽、气味</w:t>
            </w:r>
          </w:p>
        </w:tc>
        <w:tc>
          <w:tcPr>
            <w:tcW w:w="3341" w:type="pct"/>
            <w:gridSpan w:val="3"/>
            <w:vAlign w:val="center"/>
          </w:tcPr>
          <w:p w14:paraId="1E824B64">
            <w:pPr>
              <w:pStyle w:val="182"/>
              <w:spacing w:line="400" w:lineRule="exact"/>
              <w:rPr>
                <w:spacing w:val="-1"/>
              </w:rPr>
            </w:pPr>
            <w:r>
              <w:rPr>
                <w:rFonts w:hint="eastAsia"/>
                <w:spacing w:val="-1"/>
              </w:rPr>
              <w:t>正常</w:t>
            </w:r>
          </w:p>
        </w:tc>
      </w:tr>
      <w:tr w14:paraId="43582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jc w:val="center"/>
        </w:trPr>
        <w:tc>
          <w:tcPr>
            <w:tcW w:w="223" w:type="pct"/>
            <w:vMerge w:val="restart"/>
            <w:vAlign w:val="center"/>
          </w:tcPr>
          <w:p w14:paraId="2C13B8AC">
            <w:pPr>
              <w:pStyle w:val="182"/>
              <w:spacing w:line="400" w:lineRule="exact"/>
            </w:pPr>
            <w:r>
              <w:rPr>
                <w:rFonts w:hint="eastAsia"/>
              </w:rPr>
              <w:t>声称指标</w:t>
            </w:r>
            <w:r>
              <w:rPr>
                <w:rFonts w:hint="eastAsia"/>
                <w:vertAlign w:val="superscript"/>
              </w:rPr>
              <w:t>a</w:t>
            </w:r>
          </w:p>
        </w:tc>
        <w:tc>
          <w:tcPr>
            <w:tcW w:w="1434" w:type="pct"/>
            <w:gridSpan w:val="2"/>
            <w:vAlign w:val="center"/>
          </w:tcPr>
          <w:p w14:paraId="0BA064EC">
            <w:pPr>
              <w:pStyle w:val="182"/>
              <w:spacing w:line="400" w:lineRule="exact"/>
              <w:ind w:firstLine="180" w:firstLineChars="100"/>
              <w:jc w:val="left"/>
            </w:pPr>
            <w:r>
              <w:rPr>
                <w:rFonts w:hint="eastAsia"/>
              </w:rPr>
              <w:t xml:space="preserve">叶酸含量/（ug/100g）                          </w:t>
            </w:r>
          </w:p>
        </w:tc>
        <w:tc>
          <w:tcPr>
            <w:tcW w:w="3341" w:type="pct"/>
            <w:gridSpan w:val="3"/>
            <w:vAlign w:val="center"/>
          </w:tcPr>
          <w:p w14:paraId="234C5B52">
            <w:pPr>
              <w:pStyle w:val="182"/>
              <w:spacing w:line="400" w:lineRule="exact"/>
              <w:rPr>
                <w:color w:val="FF0000"/>
              </w:rPr>
            </w:pPr>
            <w:r>
              <w:rPr>
                <w:rFonts w:hint="eastAsia"/>
              </w:rPr>
              <w:t>-</w:t>
            </w:r>
          </w:p>
        </w:tc>
      </w:tr>
      <w:tr w14:paraId="5162D0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jc w:val="center"/>
        </w:trPr>
        <w:tc>
          <w:tcPr>
            <w:tcW w:w="223" w:type="pct"/>
            <w:vMerge w:val="continue"/>
            <w:vAlign w:val="center"/>
          </w:tcPr>
          <w:p w14:paraId="288448B5">
            <w:pPr>
              <w:pStyle w:val="182"/>
              <w:spacing w:line="400" w:lineRule="exact"/>
            </w:pPr>
          </w:p>
        </w:tc>
        <w:tc>
          <w:tcPr>
            <w:tcW w:w="1434" w:type="pct"/>
            <w:gridSpan w:val="2"/>
            <w:vAlign w:val="center"/>
          </w:tcPr>
          <w:p w14:paraId="75E60AE3">
            <w:pPr>
              <w:pStyle w:val="182"/>
              <w:spacing w:line="400" w:lineRule="exact"/>
              <w:ind w:firstLine="180" w:firstLineChars="100"/>
              <w:jc w:val="both"/>
            </w:pPr>
            <w:r>
              <w:rPr>
                <w:rFonts w:hint="eastAsia"/>
              </w:rPr>
              <w:t>维生素B</w:t>
            </w:r>
            <w:r>
              <w:rPr>
                <w:rFonts w:hint="eastAsia"/>
                <w:vertAlign w:val="subscript"/>
              </w:rPr>
              <w:t>1</w:t>
            </w:r>
            <w:r>
              <w:rPr>
                <w:rFonts w:hint="eastAsia"/>
              </w:rPr>
              <w:t>含量/(mg/100g)   ≥</w:t>
            </w:r>
          </w:p>
        </w:tc>
        <w:tc>
          <w:tcPr>
            <w:tcW w:w="3341" w:type="pct"/>
            <w:gridSpan w:val="3"/>
            <w:vAlign w:val="center"/>
          </w:tcPr>
          <w:p w14:paraId="153C9D14">
            <w:pPr>
              <w:pStyle w:val="182"/>
              <w:spacing w:line="400" w:lineRule="exact"/>
              <w:rPr>
                <w:color w:val="FF0000"/>
              </w:rPr>
            </w:pPr>
            <w:r>
              <w:rPr>
                <w:rFonts w:hint="eastAsia"/>
              </w:rPr>
              <w:t>-</w:t>
            </w:r>
          </w:p>
        </w:tc>
      </w:tr>
      <w:tr w14:paraId="17A138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1" w:hRule="atLeast"/>
          <w:jc w:val="center"/>
        </w:trPr>
        <w:tc>
          <w:tcPr>
            <w:tcW w:w="223" w:type="pct"/>
            <w:vMerge w:val="continue"/>
            <w:vAlign w:val="center"/>
          </w:tcPr>
          <w:p w14:paraId="56E29600">
            <w:pPr>
              <w:pStyle w:val="182"/>
              <w:spacing w:line="400" w:lineRule="exact"/>
            </w:pPr>
          </w:p>
        </w:tc>
        <w:tc>
          <w:tcPr>
            <w:tcW w:w="1434" w:type="pct"/>
            <w:gridSpan w:val="2"/>
            <w:vAlign w:val="center"/>
          </w:tcPr>
          <w:p w14:paraId="4DA164E0">
            <w:pPr>
              <w:pStyle w:val="182"/>
              <w:spacing w:line="400" w:lineRule="exact"/>
              <w:ind w:firstLine="180" w:firstLineChars="100"/>
              <w:jc w:val="both"/>
            </w:pPr>
            <w:r>
              <w:rPr>
                <w:rFonts w:hint="eastAsia"/>
              </w:rPr>
              <w:t>膳食纤维含量/(g/100g)</w:t>
            </w:r>
          </w:p>
        </w:tc>
        <w:tc>
          <w:tcPr>
            <w:tcW w:w="3341" w:type="pct"/>
            <w:gridSpan w:val="3"/>
            <w:vAlign w:val="center"/>
          </w:tcPr>
          <w:p w14:paraId="43A7CE46">
            <w:pPr>
              <w:pStyle w:val="182"/>
              <w:spacing w:line="400" w:lineRule="exact"/>
            </w:pPr>
            <w:r>
              <w:rPr>
                <w:rFonts w:hint="eastAsia"/>
              </w:rPr>
              <w:t>-</w:t>
            </w:r>
          </w:p>
        </w:tc>
      </w:tr>
      <w:tr w14:paraId="7B16E8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40" w:hRule="atLeast"/>
          <w:jc w:val="center"/>
        </w:trPr>
        <w:tc>
          <w:tcPr>
            <w:tcW w:w="5000" w:type="pct"/>
            <w:gridSpan w:val="6"/>
            <w:vAlign w:val="center"/>
          </w:tcPr>
          <w:p w14:paraId="1F076E15">
            <w:pPr>
              <w:pStyle w:val="182"/>
              <w:spacing w:line="400" w:lineRule="exact"/>
              <w:ind w:firstLine="360" w:firstLineChars="200"/>
              <w:jc w:val="left"/>
              <w:rPr>
                <w:vertAlign w:val="superscript"/>
              </w:rPr>
            </w:pPr>
            <w:r>
              <w:rPr>
                <w:rFonts w:hint="eastAsia"/>
                <w:vertAlign w:val="superscript"/>
              </w:rPr>
              <w:t>a</w:t>
            </w:r>
            <w:r>
              <w:rPr>
                <w:rFonts w:hint="eastAsia"/>
              </w:rPr>
              <w:t>声称指标不参与产品质量的判定，根据客户需求进行检测。</w:t>
            </w:r>
          </w:p>
        </w:tc>
      </w:tr>
    </w:tbl>
    <w:p w14:paraId="38DFA4C5">
      <w:pPr>
        <w:pStyle w:val="109"/>
        <w:spacing w:before="120" w:after="120" w:line="400" w:lineRule="exact"/>
      </w:pPr>
      <w:r>
        <w:rPr>
          <w:rFonts w:hint="eastAsia"/>
        </w:rPr>
        <w:t>食品安全要求</w:t>
      </w:r>
    </w:p>
    <w:p w14:paraId="76C0E71D">
      <w:pPr>
        <w:pStyle w:val="169"/>
        <w:spacing w:line="400" w:lineRule="exact"/>
        <w:ind w:left="0"/>
      </w:pPr>
      <w:r>
        <w:rPr>
          <w:rFonts w:hint="eastAsia"/>
        </w:rPr>
        <w:t>感官要求、有毒有害菌类、植物种子指标按 GB 2715规定执行。</w:t>
      </w:r>
    </w:p>
    <w:p w14:paraId="616F43A9">
      <w:pPr>
        <w:pStyle w:val="169"/>
        <w:spacing w:line="400" w:lineRule="exact"/>
        <w:ind w:left="0"/>
      </w:pPr>
      <w:r>
        <w:rPr>
          <w:rFonts w:hint="eastAsia"/>
        </w:rPr>
        <w:t>安全指数（P</w:t>
      </w:r>
      <w:r>
        <w:rPr>
          <w:rFonts w:hint="eastAsia"/>
          <w:vertAlign w:val="subscript"/>
        </w:rPr>
        <w:t>N</w:t>
      </w:r>
      <w:r>
        <w:rPr>
          <w:rFonts w:hint="eastAsia"/>
        </w:rPr>
        <w:t>）以GB 2761、GB 2762、GB 2763的限量和其实测值为基础计算，如限量有不同取最低限量值用于计算安全指数</w:t>
      </w:r>
      <w:r>
        <w:rPr>
          <w:rFonts w:hint="eastAsia"/>
          <w:lang w:eastAsia="zh-CN"/>
        </w:rPr>
        <w:t>，</w:t>
      </w:r>
      <w:r>
        <w:rPr>
          <w:rFonts w:hint="eastAsia"/>
        </w:rPr>
        <w:t>要求见表2。</w:t>
      </w:r>
      <w:r>
        <w:br w:type="textWrapping"/>
      </w:r>
    </w:p>
    <w:p w14:paraId="04839B9D">
      <w:pPr>
        <w:pStyle w:val="116"/>
        <w:spacing w:before="120" w:after="120" w:line="400" w:lineRule="exact"/>
      </w:pPr>
      <w:r>
        <w:rPr>
          <w:rFonts w:hint="eastAsia"/>
        </w:rPr>
        <w:t>安全指数要求</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7"/>
        <w:gridCol w:w="5273"/>
      </w:tblGrid>
      <w:tr w14:paraId="7E83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007" w:type="dxa"/>
            <w:vAlign w:val="center"/>
          </w:tcPr>
          <w:p w14:paraId="47F59B1E">
            <w:pPr>
              <w:pStyle w:val="234"/>
              <w:spacing w:line="400" w:lineRule="exact"/>
              <w:ind w:firstLine="0" w:firstLineChars="0"/>
              <w:jc w:val="center"/>
              <w:rPr>
                <w:rFonts w:hint="eastAsia" w:hAnsi="宋体"/>
                <w:sz w:val="18"/>
                <w:szCs w:val="18"/>
              </w:rPr>
            </w:pPr>
            <w:r>
              <w:rPr>
                <w:rFonts w:hAnsi="宋体"/>
                <w:sz w:val="18"/>
                <w:szCs w:val="18"/>
              </w:rPr>
              <w:t>项目</w:t>
            </w:r>
          </w:p>
        </w:tc>
        <w:tc>
          <w:tcPr>
            <w:tcW w:w="5273" w:type="dxa"/>
            <w:vAlign w:val="center"/>
          </w:tcPr>
          <w:p w14:paraId="344CB9DF">
            <w:pPr>
              <w:pStyle w:val="234"/>
              <w:spacing w:line="400" w:lineRule="exact"/>
              <w:ind w:firstLine="0" w:firstLineChars="0"/>
              <w:jc w:val="center"/>
              <w:rPr>
                <w:rFonts w:hint="eastAsia" w:hAnsi="宋体"/>
                <w:sz w:val="18"/>
                <w:szCs w:val="18"/>
              </w:rPr>
            </w:pPr>
            <w:r>
              <w:rPr>
                <w:rFonts w:hint="eastAsia" w:hAnsi="宋体"/>
                <w:color w:val="000000"/>
                <w:sz w:val="18"/>
                <w:szCs w:val="18"/>
              </w:rPr>
              <w:t>指标</w:t>
            </w:r>
          </w:p>
        </w:tc>
      </w:tr>
      <w:tr w14:paraId="7C94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007" w:type="dxa"/>
            <w:vAlign w:val="center"/>
          </w:tcPr>
          <w:p w14:paraId="136DE2D0">
            <w:pPr>
              <w:widowControl/>
              <w:jc w:val="left"/>
              <w:rPr>
                <w:rFonts w:hint="eastAsia" w:ascii="宋体" w:hAnsi="宋体"/>
                <w:kern w:val="0"/>
                <w:sz w:val="18"/>
                <w:szCs w:val="18"/>
              </w:rPr>
            </w:pPr>
            <w:r>
              <w:rPr>
                <w:rFonts w:hint="eastAsia" w:ascii="Times New Roman"/>
                <w:sz w:val="18"/>
                <w:szCs w:val="18"/>
              </w:rPr>
              <w:t>P</w:t>
            </w:r>
            <w:r>
              <w:rPr>
                <w:rFonts w:hint="eastAsia" w:ascii="宋体" w:hAnsi="宋体"/>
                <w:color w:val="000000"/>
                <w:sz w:val="18"/>
                <w:szCs w:val="18"/>
                <w:vertAlign w:val="subscript"/>
              </w:rPr>
              <w:t>N</w:t>
            </w:r>
            <w:r>
              <w:rPr>
                <w:rFonts w:ascii="宋体" w:hAnsi="宋体"/>
                <w:color w:val="000000"/>
                <w:sz w:val="18"/>
                <w:szCs w:val="18"/>
                <w:vertAlign w:val="subscript"/>
              </w:rPr>
              <w:t>真菌毒素</w:t>
            </w:r>
            <w:r>
              <w:rPr>
                <w:rFonts w:hint="eastAsia" w:ascii="宋体" w:hAnsi="宋体"/>
                <w:color w:val="000000"/>
                <w:sz w:val="18"/>
                <w:szCs w:val="18"/>
                <w:vertAlign w:val="subscript"/>
              </w:rPr>
              <w:t xml:space="preserve">                                              </w:t>
            </w:r>
            <w:r>
              <w:rPr>
                <w:rFonts w:hAnsi="宋体"/>
                <w:sz w:val="18"/>
                <w:szCs w:val="18"/>
              </w:rPr>
              <w:t>≤</w:t>
            </w:r>
          </w:p>
        </w:tc>
        <w:tc>
          <w:tcPr>
            <w:tcW w:w="5273" w:type="dxa"/>
            <w:vAlign w:val="center"/>
          </w:tcPr>
          <w:p w14:paraId="79A2FB6F">
            <w:pPr>
              <w:pStyle w:val="234"/>
              <w:spacing w:line="400" w:lineRule="exact"/>
              <w:ind w:firstLine="0" w:firstLineChars="0"/>
              <w:jc w:val="center"/>
              <w:rPr>
                <w:rFonts w:hint="eastAsia" w:ascii="Times New Roman" w:eastAsia="宋体"/>
                <w:sz w:val="18"/>
                <w:szCs w:val="18"/>
                <w:lang w:eastAsia="zh-CN"/>
              </w:rPr>
            </w:pPr>
            <w:r>
              <w:rPr>
                <w:rFonts w:hint="eastAsia" w:ascii="Times New Roman"/>
                <w:sz w:val="18"/>
                <w:szCs w:val="18"/>
                <w:highlight w:val="none"/>
              </w:rPr>
              <w:t>0.</w:t>
            </w:r>
            <w:r>
              <w:rPr>
                <w:rFonts w:hint="eastAsia" w:ascii="Times New Roman"/>
                <w:sz w:val="18"/>
                <w:szCs w:val="18"/>
                <w:highlight w:val="none"/>
                <w:lang w:val="en-US" w:eastAsia="zh-CN"/>
              </w:rPr>
              <w:t>5</w:t>
            </w:r>
          </w:p>
        </w:tc>
      </w:tr>
      <w:tr w14:paraId="477F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007" w:type="dxa"/>
            <w:vAlign w:val="center"/>
          </w:tcPr>
          <w:p w14:paraId="71E9B460">
            <w:pPr>
              <w:widowControl/>
              <w:jc w:val="left"/>
              <w:rPr>
                <w:rFonts w:hint="eastAsia" w:ascii="宋体" w:hAnsi="宋体"/>
                <w:color w:val="000000"/>
                <w:sz w:val="18"/>
                <w:szCs w:val="18"/>
              </w:rPr>
            </w:pPr>
            <w:r>
              <w:rPr>
                <w:rFonts w:hint="eastAsia" w:ascii="Times New Roman"/>
                <w:sz w:val="18"/>
                <w:szCs w:val="18"/>
              </w:rPr>
              <w:t>P</w:t>
            </w:r>
            <w:r>
              <w:rPr>
                <w:rFonts w:hint="eastAsia" w:ascii="宋体" w:hAnsi="宋体"/>
                <w:color w:val="000000"/>
                <w:sz w:val="18"/>
                <w:szCs w:val="18"/>
                <w:vertAlign w:val="subscript"/>
              </w:rPr>
              <w:t>N</w:t>
            </w:r>
            <w:r>
              <w:rPr>
                <w:rFonts w:ascii="宋体" w:hAnsi="宋体"/>
                <w:color w:val="000000"/>
                <w:sz w:val="18"/>
                <w:szCs w:val="18"/>
                <w:vertAlign w:val="subscript"/>
              </w:rPr>
              <w:t>污染物</w:t>
            </w:r>
            <w:r>
              <w:rPr>
                <w:rFonts w:hint="eastAsia" w:ascii="宋体" w:hAnsi="宋体"/>
                <w:color w:val="000000"/>
                <w:sz w:val="18"/>
                <w:szCs w:val="18"/>
                <w:vertAlign w:val="subscript"/>
              </w:rPr>
              <w:t xml:space="preserve">                                                </w:t>
            </w:r>
            <w:r>
              <w:rPr>
                <w:rFonts w:hAnsi="宋体"/>
                <w:sz w:val="18"/>
                <w:szCs w:val="18"/>
              </w:rPr>
              <w:t>≤</w:t>
            </w:r>
          </w:p>
        </w:tc>
        <w:tc>
          <w:tcPr>
            <w:tcW w:w="5273" w:type="dxa"/>
            <w:vAlign w:val="center"/>
          </w:tcPr>
          <w:p w14:paraId="2DB9AF1A">
            <w:pPr>
              <w:pStyle w:val="234"/>
              <w:spacing w:line="400" w:lineRule="exact"/>
              <w:ind w:firstLine="0" w:firstLineChars="0"/>
              <w:jc w:val="center"/>
              <w:rPr>
                <w:rFonts w:ascii="Times New Roman"/>
                <w:sz w:val="18"/>
                <w:szCs w:val="18"/>
              </w:rPr>
            </w:pPr>
            <w:r>
              <w:rPr>
                <w:rFonts w:ascii="Times New Roman"/>
                <w:sz w:val="18"/>
                <w:szCs w:val="18"/>
              </w:rPr>
              <w:t>0.7</w:t>
            </w:r>
          </w:p>
        </w:tc>
      </w:tr>
      <w:tr w14:paraId="3AD7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007" w:type="dxa"/>
            <w:vAlign w:val="center"/>
          </w:tcPr>
          <w:p w14:paraId="7896226F">
            <w:pPr>
              <w:widowControl/>
              <w:jc w:val="left"/>
              <w:rPr>
                <w:rFonts w:hint="eastAsia" w:ascii="宋体" w:hAnsi="宋体"/>
                <w:color w:val="000000"/>
                <w:sz w:val="18"/>
                <w:szCs w:val="18"/>
              </w:rPr>
            </w:pPr>
            <w:r>
              <w:rPr>
                <w:rFonts w:hint="eastAsia" w:ascii="Times New Roman"/>
                <w:sz w:val="18"/>
                <w:szCs w:val="18"/>
              </w:rPr>
              <w:t>P</w:t>
            </w:r>
            <w:r>
              <w:rPr>
                <w:rFonts w:hint="eastAsia" w:ascii="宋体" w:hAnsi="宋体"/>
                <w:color w:val="000000"/>
                <w:sz w:val="18"/>
                <w:szCs w:val="18"/>
                <w:vertAlign w:val="subscript"/>
              </w:rPr>
              <w:t>N</w:t>
            </w:r>
            <w:r>
              <w:rPr>
                <w:rFonts w:ascii="宋体" w:hAnsi="宋体"/>
                <w:color w:val="000000"/>
                <w:sz w:val="18"/>
                <w:szCs w:val="18"/>
                <w:vertAlign w:val="subscript"/>
              </w:rPr>
              <w:t>农药残留</w:t>
            </w:r>
            <w:r>
              <w:rPr>
                <w:rFonts w:hint="eastAsia" w:ascii="宋体" w:hAnsi="宋体"/>
                <w:color w:val="000000"/>
                <w:sz w:val="18"/>
                <w:szCs w:val="18"/>
                <w:vertAlign w:val="subscript"/>
              </w:rPr>
              <w:t xml:space="preserve">                                              </w:t>
            </w:r>
            <w:r>
              <w:rPr>
                <w:rFonts w:hAnsi="宋体"/>
                <w:sz w:val="18"/>
                <w:szCs w:val="18"/>
              </w:rPr>
              <w:t>≤</w:t>
            </w:r>
          </w:p>
        </w:tc>
        <w:tc>
          <w:tcPr>
            <w:tcW w:w="5273" w:type="dxa"/>
            <w:vAlign w:val="center"/>
          </w:tcPr>
          <w:p w14:paraId="32B3E7FF">
            <w:pPr>
              <w:pStyle w:val="234"/>
              <w:spacing w:line="400" w:lineRule="exact"/>
              <w:ind w:firstLine="0" w:firstLineChars="0"/>
              <w:jc w:val="center"/>
              <w:rPr>
                <w:rFonts w:ascii="Times New Roman"/>
                <w:sz w:val="18"/>
                <w:szCs w:val="18"/>
              </w:rPr>
            </w:pPr>
            <w:r>
              <w:rPr>
                <w:rFonts w:ascii="Times New Roman"/>
                <w:sz w:val="18"/>
                <w:szCs w:val="18"/>
              </w:rPr>
              <w:t>0.7</w:t>
            </w:r>
          </w:p>
        </w:tc>
      </w:tr>
    </w:tbl>
    <w:p w14:paraId="0AF407B4">
      <w:pPr>
        <w:pStyle w:val="109"/>
        <w:spacing w:before="120" w:after="120" w:line="400" w:lineRule="exact"/>
      </w:pPr>
      <w:r>
        <w:t>生产过程质量控制</w:t>
      </w:r>
    </w:p>
    <w:p w14:paraId="4ED83492">
      <w:pPr>
        <w:pStyle w:val="169"/>
        <w:spacing w:line="400" w:lineRule="exact"/>
        <w:ind w:left="0"/>
      </w:pPr>
      <w:r>
        <w:rPr>
          <w:rFonts w:hint="eastAsia"/>
        </w:rPr>
        <w:t>按LS/T 1218相关条款执行。</w:t>
      </w:r>
    </w:p>
    <w:p w14:paraId="57659702">
      <w:pPr>
        <w:pStyle w:val="169"/>
        <w:spacing w:line="400" w:lineRule="exact"/>
        <w:ind w:left="0"/>
      </w:pPr>
      <w:r>
        <w:rPr>
          <w:rFonts w:hint="eastAsia"/>
        </w:rPr>
        <w:t>加工生产过程中，除符合GB 5749规定的水之外不应添加任何物质。</w:t>
      </w:r>
    </w:p>
    <w:p w14:paraId="6F5F1CFD">
      <w:pPr>
        <w:pStyle w:val="109"/>
        <w:spacing w:before="120" w:after="120" w:line="400" w:lineRule="exact"/>
      </w:pPr>
      <w:r>
        <w:rPr>
          <w:rFonts w:hint="eastAsia"/>
        </w:rPr>
        <w:t>追溯信息</w:t>
      </w:r>
    </w:p>
    <w:p w14:paraId="2EE7FA04">
      <w:pPr>
        <w:pStyle w:val="60"/>
        <w:spacing w:line="400" w:lineRule="exact"/>
        <w:ind w:firstLine="630" w:firstLineChars="300"/>
        <w:rPr>
          <w:rFonts w:hint="eastAsia" w:ascii="Times New Roman" w:hAnsi="宋体"/>
        </w:rPr>
      </w:pPr>
      <w:r>
        <w:rPr>
          <w:rFonts w:hint="eastAsia" w:hAnsi="宋体"/>
        </w:rPr>
        <w:t>供应方应提供可供追溯的信息参</w:t>
      </w:r>
      <w:r>
        <w:rPr>
          <w:rFonts w:ascii="Times New Roman" w:hAnsi="宋体"/>
        </w:rPr>
        <w:t>见附录</w:t>
      </w:r>
      <w:r>
        <w:rPr>
          <w:rFonts w:ascii="Times New Roman"/>
        </w:rPr>
        <w:t>A</w:t>
      </w:r>
      <w:r>
        <w:rPr>
          <w:rFonts w:ascii="Times New Roman" w:hAnsi="宋体"/>
        </w:rPr>
        <w:t>。</w:t>
      </w:r>
    </w:p>
    <w:p w14:paraId="146F38B5">
      <w:pPr>
        <w:pStyle w:val="109"/>
        <w:spacing w:before="120" w:after="120" w:line="400" w:lineRule="exact"/>
      </w:pPr>
      <w:r>
        <w:rPr>
          <w:rFonts w:hint="eastAsia"/>
        </w:rPr>
        <w:t>净含量</w:t>
      </w:r>
    </w:p>
    <w:p w14:paraId="09DF35A6">
      <w:pPr>
        <w:pStyle w:val="60"/>
        <w:spacing w:line="400" w:lineRule="exact"/>
        <w:ind w:firstLine="630" w:firstLineChars="300"/>
        <w:rPr>
          <w:rFonts w:hint="eastAsia" w:hAnsi="宋体"/>
        </w:rPr>
      </w:pPr>
      <w:r>
        <w:rPr>
          <w:rFonts w:hint="eastAsia"/>
        </w:rPr>
        <w:t>应符合国家《定量包装商品计量监督管理办法》的规定，为产品最大允许水分含量状况下的质量</w:t>
      </w:r>
      <w:r>
        <w:rPr>
          <w:rFonts w:hint="eastAsia" w:hAnsi="宋体"/>
        </w:rPr>
        <w:t>。</w:t>
      </w:r>
    </w:p>
    <w:p w14:paraId="5319D621">
      <w:pPr>
        <w:pStyle w:val="108"/>
        <w:spacing w:before="240" w:after="240" w:line="400" w:lineRule="exact"/>
        <w:rPr>
          <w:sz w:val="22"/>
          <w:szCs w:val="21"/>
        </w:rPr>
      </w:pPr>
      <w:r>
        <w:rPr>
          <w:rFonts w:hint="eastAsia"/>
        </w:rPr>
        <w:t>检验</w:t>
      </w:r>
      <w:r>
        <w:rPr>
          <w:rFonts w:hint="eastAsia"/>
          <w:sz w:val="22"/>
          <w:szCs w:val="21"/>
        </w:rPr>
        <w:t>方法</w:t>
      </w:r>
      <w:bookmarkStart w:id="43" w:name="_Hlk144377793"/>
    </w:p>
    <w:p w14:paraId="21388C01">
      <w:pPr>
        <w:pStyle w:val="109"/>
        <w:spacing w:before="120" w:after="120" w:line="400" w:lineRule="exact"/>
        <w:rPr>
          <w:rFonts w:hint="eastAsia" w:ascii="宋体" w:hAnsi="宋体" w:eastAsia="宋体"/>
        </w:rPr>
      </w:pPr>
      <w:r>
        <w:rPr>
          <w:rFonts w:hint="eastAsia" w:ascii="宋体" w:hAnsi="宋体" w:eastAsia="宋体"/>
          <w:sz w:val="22"/>
          <w:szCs w:val="21"/>
        </w:rPr>
        <w:t>扦样</w:t>
      </w:r>
      <w:r>
        <w:rPr>
          <w:rFonts w:hint="eastAsia" w:ascii="宋体" w:hAnsi="宋体" w:eastAsia="宋体"/>
        </w:rPr>
        <w:t>、分样：按GB/T 5491执行</w:t>
      </w:r>
    </w:p>
    <w:p w14:paraId="115FB7F1">
      <w:pPr>
        <w:pStyle w:val="109"/>
        <w:spacing w:before="120" w:after="120" w:line="400" w:lineRule="exact"/>
        <w:rPr>
          <w:rFonts w:hint="eastAsia" w:ascii="宋体" w:hAnsi="宋体" w:eastAsia="宋体"/>
        </w:rPr>
      </w:pPr>
      <w:r>
        <w:rPr>
          <w:rFonts w:hint="eastAsia" w:ascii="宋体" w:hAnsi="宋体" w:eastAsia="宋体"/>
        </w:rPr>
        <w:t>全谷物含量检验：按GB/T 48029执行。</w:t>
      </w:r>
    </w:p>
    <w:p w14:paraId="20204729">
      <w:pPr>
        <w:pStyle w:val="109"/>
        <w:spacing w:before="120" w:after="120" w:line="400" w:lineRule="exact"/>
        <w:rPr>
          <w:rFonts w:hint="eastAsia" w:ascii="宋体" w:hAnsi="宋体" w:eastAsia="宋体"/>
        </w:rPr>
      </w:pPr>
      <w:r>
        <w:rPr>
          <w:rFonts w:hint="eastAsia" w:ascii="宋体" w:hAnsi="宋体" w:eastAsia="宋体"/>
        </w:rPr>
        <w:t>杂质含量检验：按GB/T 5494执行。</w:t>
      </w:r>
    </w:p>
    <w:p w14:paraId="1156A2A0">
      <w:pPr>
        <w:pStyle w:val="109"/>
        <w:spacing w:before="120" w:after="120" w:line="400" w:lineRule="exact"/>
      </w:pPr>
      <w:r>
        <w:rPr>
          <w:rFonts w:hint="eastAsia" w:ascii="宋体" w:hAnsi="宋体" w:eastAsia="宋体"/>
        </w:rPr>
        <w:t>不完善粒含量检验：按照GB/T 5494</w:t>
      </w:r>
      <w:r>
        <w:rPr>
          <w:rFonts w:hint="eastAsia" w:ascii="宋体" w:hAnsi="宋体" w:eastAsia="宋体"/>
          <w:lang w:eastAsia="zh-CN"/>
        </w:rPr>
        <w:t>拣</w:t>
      </w:r>
      <w:r>
        <w:rPr>
          <w:rFonts w:hint="eastAsia" w:ascii="宋体" w:hAnsi="宋体" w:eastAsia="宋体"/>
        </w:rPr>
        <w:t>出各配料产品标准中规定的不完善粒，称重计算。</w:t>
      </w:r>
    </w:p>
    <w:p w14:paraId="43A9867A">
      <w:pPr>
        <w:pStyle w:val="109"/>
        <w:spacing w:before="120" w:after="120" w:line="400" w:lineRule="exact"/>
        <w:rPr>
          <w:rFonts w:hint="eastAsia" w:ascii="宋体" w:hAnsi="宋体" w:eastAsia="宋体"/>
        </w:rPr>
      </w:pPr>
      <w:r>
        <w:rPr>
          <w:rFonts w:hint="eastAsia" w:ascii="宋体" w:hAnsi="宋体" w:eastAsia="宋体" w:cs="宋体"/>
        </w:rPr>
        <w:t>配米完整率检验：</w:t>
      </w:r>
      <w:r>
        <w:rPr>
          <w:rFonts w:hint="eastAsia" w:ascii="宋体" w:hAnsi="宋体" w:eastAsia="宋体"/>
        </w:rPr>
        <w:t>称取混合均匀的样品100g，精确至0.01g，称量后置于分析盘中按照配料种类分别</w:t>
      </w:r>
      <w:r>
        <w:rPr>
          <w:rFonts w:hint="eastAsia" w:ascii="宋体" w:hAnsi="宋体" w:eastAsia="宋体"/>
          <w:lang w:eastAsia="zh-CN"/>
        </w:rPr>
        <w:t>拣</w:t>
      </w:r>
      <w:r>
        <w:rPr>
          <w:rFonts w:hint="eastAsia" w:ascii="宋体" w:hAnsi="宋体" w:eastAsia="宋体"/>
        </w:rPr>
        <w:t>出称量（m</w:t>
      </w:r>
      <w:r>
        <w:rPr>
          <w:rFonts w:hint="eastAsia" w:ascii="宋体" w:hAnsi="宋体" w:eastAsia="宋体"/>
          <w:vertAlign w:val="subscript"/>
        </w:rPr>
        <w:t>1</w:t>
      </w:r>
      <w:r>
        <w:rPr>
          <w:rFonts w:hint="eastAsia" w:ascii="宋体" w:hAnsi="宋体" w:eastAsia="宋体"/>
        </w:rPr>
        <w:t>），精确至0.01g，用镊子拣出配料米粒长度达到该种配料完整米粒平均长度3/4及以上的米粒，称量(m</w:t>
      </w:r>
      <w:r>
        <w:rPr>
          <w:rFonts w:hint="eastAsia" w:ascii="宋体" w:hAnsi="宋体" w:eastAsia="宋体"/>
          <w:vertAlign w:val="subscript"/>
        </w:rPr>
        <w:t>2</w:t>
      </w:r>
      <w:r>
        <w:rPr>
          <w:rFonts w:hint="eastAsia" w:ascii="宋体" w:hAnsi="宋体" w:eastAsia="宋体"/>
        </w:rPr>
        <w:t>)，精确至0.01g，计算拣出米粒(m</w:t>
      </w:r>
      <w:r>
        <w:rPr>
          <w:rFonts w:hint="eastAsia" w:ascii="宋体" w:hAnsi="宋体" w:eastAsia="宋体"/>
          <w:vertAlign w:val="subscript"/>
        </w:rPr>
        <w:t>2</w:t>
      </w:r>
      <w:r>
        <w:rPr>
          <w:rFonts w:hint="eastAsia" w:ascii="宋体" w:hAnsi="宋体" w:eastAsia="宋体"/>
        </w:rPr>
        <w:t>)占各自配料试样（m</w:t>
      </w:r>
      <w:r>
        <w:rPr>
          <w:rFonts w:hint="eastAsia" w:ascii="宋体" w:hAnsi="宋体" w:eastAsia="宋体"/>
          <w:vertAlign w:val="subscript"/>
        </w:rPr>
        <w:t>1</w:t>
      </w:r>
      <w:r>
        <w:rPr>
          <w:rFonts w:hint="eastAsia" w:ascii="宋体" w:hAnsi="宋体" w:eastAsia="宋体"/>
        </w:rPr>
        <w:t>）的质量百分率。两次独立测定结果的绝对差值不超过1.0%，取其平均值，即为检验结果，计算结果保留小数点后一位。</w:t>
      </w:r>
    </w:p>
    <w:p w14:paraId="5998D28E">
      <w:pPr>
        <w:pStyle w:val="109"/>
        <w:numPr>
          <w:ilvl w:val="2"/>
          <w:numId w:val="0"/>
        </w:numPr>
        <w:spacing w:before="120" w:after="120" w:line="400" w:lineRule="exact"/>
        <w:rPr>
          <w:rFonts w:hint="eastAsia" w:ascii="宋体" w:hAnsi="宋体" w:eastAsia="宋体"/>
        </w:rPr>
      </w:pPr>
      <w:r>
        <w:rPr>
          <w:rFonts w:hint="eastAsia" w:ascii="宋体" w:hAnsi="宋体" w:eastAsia="宋体"/>
        </w:rPr>
        <w:t>注：配料中包括藜麦米，将分拣出藜麦米置于1.5mm圆孔筛中以110r/min</w:t>
      </w:r>
      <w:r>
        <w:rPr>
          <w:rFonts w:hint="eastAsia" w:ascii="宋体" w:hAnsi="宋体" w:eastAsia="宋体"/>
          <w:lang w:val="en-US" w:eastAsia="zh-CN"/>
        </w:rPr>
        <w:t>-</w:t>
      </w:r>
      <w:r>
        <w:rPr>
          <w:rFonts w:hint="eastAsia" w:ascii="宋体" w:hAnsi="宋体" w:eastAsia="宋体"/>
        </w:rPr>
        <w:t>120r/min的速率，顺时针、逆时针各筛选1min，将留存在1.5mm圆孔筛上的米粒及筛下的完整米粒一同称量(m</w:t>
      </w:r>
      <w:r>
        <w:rPr>
          <w:rFonts w:hint="eastAsia" w:ascii="宋体" w:hAnsi="宋体" w:eastAsia="宋体"/>
          <w:vertAlign w:val="subscript"/>
        </w:rPr>
        <w:t>2</w:t>
      </w:r>
      <w:r>
        <w:rPr>
          <w:rFonts w:hint="eastAsia" w:ascii="宋体" w:hAnsi="宋体" w:eastAsia="宋体"/>
        </w:rPr>
        <w:t>)，精确至0.01g。</w:t>
      </w:r>
    </w:p>
    <w:p w14:paraId="56D2826D">
      <w:pPr>
        <w:pStyle w:val="109"/>
        <w:spacing w:before="120" w:after="120" w:line="400" w:lineRule="exact"/>
        <w:rPr>
          <w:rFonts w:hint="eastAsia" w:ascii="宋体" w:hAnsi="宋体" w:eastAsia="宋体"/>
        </w:rPr>
      </w:pPr>
      <w:r>
        <w:rPr>
          <w:rFonts w:hint="eastAsia" w:ascii="宋体" w:hAnsi="宋体" w:eastAsia="宋体"/>
        </w:rPr>
        <w:t>水分含量检验：按GB 5009.3或GB/T 5497-2025 4.4.1执行，其中GB 5009.3为仲裁法。</w:t>
      </w:r>
    </w:p>
    <w:p w14:paraId="64E27E91">
      <w:pPr>
        <w:pStyle w:val="109"/>
        <w:spacing w:before="120" w:after="120" w:line="400" w:lineRule="exact"/>
        <w:rPr>
          <w:rFonts w:hint="eastAsia" w:ascii="宋体" w:hAnsi="宋体" w:eastAsia="宋体"/>
        </w:rPr>
      </w:pPr>
      <w:r>
        <w:rPr>
          <w:rFonts w:hint="eastAsia" w:ascii="宋体" w:hAnsi="宋体" w:eastAsia="宋体"/>
        </w:rPr>
        <w:t>糊化时间检验：按GB/T 25226执行。</w:t>
      </w:r>
    </w:p>
    <w:p w14:paraId="014E1FBC">
      <w:pPr>
        <w:pStyle w:val="109"/>
        <w:spacing w:before="120" w:after="120" w:line="400" w:lineRule="exact"/>
        <w:rPr>
          <w:rFonts w:hint="eastAsia" w:ascii="宋体" w:hAnsi="宋体" w:eastAsia="宋体"/>
        </w:rPr>
      </w:pPr>
      <w:r>
        <w:rPr>
          <w:rFonts w:hint="eastAsia" w:ascii="宋体" w:eastAsia="宋体"/>
        </w:rPr>
        <w:t>色泽、气味检验：按 GB/T 5492执行</w:t>
      </w:r>
      <w:r>
        <w:rPr>
          <w:rFonts w:hint="eastAsia" w:ascii="宋体" w:hAnsi="宋体" w:eastAsia="宋体"/>
        </w:rPr>
        <w:t>。</w:t>
      </w:r>
    </w:p>
    <w:p w14:paraId="67F5DDF0">
      <w:pPr>
        <w:pStyle w:val="109"/>
        <w:spacing w:before="120" w:after="120" w:line="400" w:lineRule="exact"/>
        <w:rPr>
          <w:rFonts w:hint="eastAsia" w:ascii="宋体" w:eastAsia="宋体"/>
        </w:rPr>
      </w:pPr>
      <w:r>
        <w:rPr>
          <w:rFonts w:hint="eastAsia" w:ascii="宋体" w:eastAsia="宋体"/>
        </w:rPr>
        <w:t>叶酸含量检验：按GB 5009.211执行。</w:t>
      </w:r>
    </w:p>
    <w:p w14:paraId="7B6A673B">
      <w:pPr>
        <w:pStyle w:val="109"/>
        <w:spacing w:before="120" w:after="120" w:line="400" w:lineRule="exact"/>
        <w:rPr>
          <w:rFonts w:hint="eastAsia" w:ascii="宋体" w:eastAsia="宋体"/>
        </w:rPr>
      </w:pPr>
      <w:r>
        <w:rPr>
          <w:rFonts w:hint="eastAsia" w:ascii="宋体" w:eastAsia="宋体"/>
        </w:rPr>
        <w:t>维生素B</w:t>
      </w:r>
      <w:r>
        <w:rPr>
          <w:rFonts w:hint="eastAsia" w:ascii="宋体" w:eastAsia="宋体"/>
          <w:vertAlign w:val="baseline"/>
        </w:rPr>
        <w:t>1</w:t>
      </w:r>
      <w:r>
        <w:rPr>
          <w:rFonts w:hint="eastAsia" w:ascii="宋体" w:eastAsia="宋体"/>
        </w:rPr>
        <w:t>含量检验：按GB 5009.84执行。</w:t>
      </w:r>
    </w:p>
    <w:p w14:paraId="1F9F049C">
      <w:pPr>
        <w:pStyle w:val="109"/>
        <w:spacing w:before="120" w:after="120" w:line="400" w:lineRule="exact"/>
        <w:rPr>
          <w:rFonts w:hint="eastAsia" w:ascii="宋体" w:hAnsi="Times New Roman" w:eastAsia="宋体"/>
        </w:rPr>
      </w:pPr>
      <w:r>
        <w:rPr>
          <w:rFonts w:hint="eastAsia" w:ascii="宋体" w:eastAsia="宋体"/>
        </w:rPr>
        <w:t>膳食纤维含量检验：按GB 5009.88执行。</w:t>
      </w:r>
    </w:p>
    <w:p w14:paraId="0791AAFB">
      <w:pPr>
        <w:pStyle w:val="109"/>
        <w:spacing w:before="120" w:after="120" w:line="400" w:lineRule="exact"/>
        <w:rPr>
          <w:rFonts w:hint="eastAsia" w:ascii="宋体" w:hAnsi="宋体" w:eastAsia="宋体"/>
        </w:rPr>
      </w:pPr>
      <w:r>
        <w:rPr>
          <w:rFonts w:hint="eastAsia" w:ascii="宋体" w:hAnsi="宋体" w:eastAsia="宋体"/>
        </w:rPr>
        <w:t>安全指数检验：</w:t>
      </w:r>
      <w:r>
        <w:rPr>
          <w:rFonts w:hint="eastAsia" w:ascii="宋体" w:eastAsia="宋体"/>
        </w:rPr>
        <w:t>按T/LNSLX 001执行</w:t>
      </w:r>
      <w:r>
        <w:rPr>
          <w:rFonts w:hint="eastAsia" w:ascii="宋体" w:hAnsi="宋体" w:eastAsia="宋体"/>
        </w:rPr>
        <w:t>。</w:t>
      </w:r>
    </w:p>
    <w:p w14:paraId="7A5923F7">
      <w:pPr>
        <w:pStyle w:val="109"/>
        <w:spacing w:before="120" w:after="120" w:line="400" w:lineRule="exact"/>
        <w:rPr>
          <w:rFonts w:hint="eastAsia" w:ascii="宋体" w:hAnsi="宋体" w:eastAsia="宋体"/>
        </w:rPr>
      </w:pPr>
      <w:r>
        <w:rPr>
          <w:rFonts w:hint="eastAsia" w:ascii="宋体" w:hAnsi="宋体" w:eastAsia="宋体"/>
        </w:rPr>
        <w:t>净含量检验：按JJF 1070执行。</w:t>
      </w:r>
    </w:p>
    <w:bookmarkEnd w:id="43"/>
    <w:p w14:paraId="48C5B131">
      <w:pPr>
        <w:pStyle w:val="108"/>
        <w:spacing w:before="240" w:after="240" w:line="400" w:lineRule="exact"/>
      </w:pPr>
      <w:r>
        <w:rPr>
          <w:rFonts w:hint="eastAsia"/>
        </w:rPr>
        <w:t>检验规则</w:t>
      </w:r>
    </w:p>
    <w:p w14:paraId="632B8562">
      <w:pPr>
        <w:pStyle w:val="109"/>
        <w:spacing w:before="120" w:after="120" w:line="400" w:lineRule="exact"/>
      </w:pPr>
      <w:r>
        <w:rPr>
          <w:rFonts w:hint="eastAsia"/>
        </w:rPr>
        <w:t>一般规则</w:t>
      </w:r>
    </w:p>
    <w:p w14:paraId="17A8DF9D">
      <w:pPr>
        <w:pStyle w:val="60"/>
        <w:spacing w:line="400" w:lineRule="exact"/>
        <w:ind w:firstLine="420"/>
        <w:rPr>
          <w:rFonts w:hint="eastAsia" w:hAnsi="宋体" w:cs="宋体"/>
          <w:color w:val="000000"/>
          <w:szCs w:val="21"/>
        </w:rPr>
      </w:pPr>
      <w:r>
        <w:rPr>
          <w:rFonts w:ascii="Times New Roman" w:hAnsi="宋体"/>
        </w:rPr>
        <w:t>按</w:t>
      </w:r>
      <w:r>
        <w:rPr>
          <w:rFonts w:ascii="Times New Roman"/>
        </w:rPr>
        <w:t xml:space="preserve"> GB/T 5490</w:t>
      </w:r>
      <w:r>
        <w:rPr>
          <w:rFonts w:ascii="Times New Roman" w:hAnsi="宋体"/>
        </w:rPr>
        <w:t>执行</w:t>
      </w:r>
      <w:r>
        <w:rPr>
          <w:rFonts w:hint="eastAsia" w:hAnsi="宋体"/>
        </w:rPr>
        <w:t>。</w:t>
      </w:r>
    </w:p>
    <w:p w14:paraId="449749CD">
      <w:pPr>
        <w:pStyle w:val="109"/>
        <w:spacing w:before="120" w:after="120" w:line="400" w:lineRule="exact"/>
      </w:pPr>
      <w:r>
        <w:rPr>
          <w:rFonts w:hint="eastAsia"/>
        </w:rPr>
        <w:t>产品组批</w:t>
      </w:r>
    </w:p>
    <w:p w14:paraId="7AF7070D">
      <w:pPr>
        <w:pStyle w:val="227"/>
        <w:numPr>
          <w:ilvl w:val="0"/>
          <w:numId w:val="0"/>
        </w:numPr>
        <w:spacing w:line="400" w:lineRule="exact"/>
        <w:ind w:left="420"/>
      </w:pPr>
      <w:r>
        <w:rPr>
          <w:rFonts w:hint="eastAsia"/>
        </w:rPr>
        <w:t>同原料、同工艺、同设备、同班次加工生产的同种产品为一批。</w:t>
      </w:r>
    </w:p>
    <w:p w14:paraId="71D665CC">
      <w:pPr>
        <w:pStyle w:val="109"/>
        <w:spacing w:before="120" w:after="120" w:line="400" w:lineRule="exact"/>
      </w:pPr>
      <w:r>
        <w:rPr>
          <w:rFonts w:hint="eastAsia"/>
        </w:rPr>
        <w:t>出厂检验</w:t>
      </w:r>
    </w:p>
    <w:p w14:paraId="490C287D">
      <w:pPr>
        <w:pStyle w:val="227"/>
        <w:numPr>
          <w:ilvl w:val="0"/>
          <w:numId w:val="0"/>
        </w:numPr>
        <w:spacing w:line="400" w:lineRule="exact"/>
        <w:ind w:left="420"/>
      </w:pPr>
      <w:r>
        <w:rPr>
          <w:rFonts w:hint="eastAsia"/>
        </w:rPr>
        <w:t>应按产品组批检验，检验指标按5.2执行。</w:t>
      </w:r>
    </w:p>
    <w:p w14:paraId="727A141B">
      <w:pPr>
        <w:pStyle w:val="109"/>
        <w:spacing w:before="120" w:after="120" w:line="400" w:lineRule="exact"/>
      </w:pPr>
      <w:r>
        <w:rPr>
          <w:rFonts w:hint="eastAsia"/>
        </w:rPr>
        <w:t>型式检验</w:t>
      </w:r>
    </w:p>
    <w:p w14:paraId="506241B3">
      <w:pPr>
        <w:pStyle w:val="169"/>
        <w:spacing w:line="400" w:lineRule="exact"/>
        <w:ind w:left="0"/>
      </w:pPr>
      <w:r>
        <w:rPr>
          <w:rFonts w:hint="eastAsia"/>
        </w:rPr>
        <w:t>型式检验的项目为5.1、5.2、5.3、5.6</w:t>
      </w:r>
      <w:r>
        <w:rPr>
          <w:rFonts w:ascii="Times New Roman"/>
        </w:rPr>
        <w:t>规定的全部项目</w:t>
      </w:r>
      <w:r>
        <w:rPr>
          <w:rFonts w:hint="eastAsia"/>
        </w:rPr>
        <w:t>。</w:t>
      </w:r>
    </w:p>
    <w:p w14:paraId="647F4D76">
      <w:pPr>
        <w:pStyle w:val="169"/>
        <w:spacing w:line="400" w:lineRule="exact"/>
        <w:ind w:left="0"/>
      </w:pPr>
      <w:r>
        <w:rPr>
          <w:rFonts w:hint="eastAsia" w:hAnsi="宋体"/>
        </w:rPr>
        <w:t>正常生产时型式检验一年进行一次。有下列情况之一时，也应进行型式检验：</w:t>
      </w:r>
    </w:p>
    <w:p w14:paraId="02CB951E">
      <w:pPr>
        <w:pStyle w:val="178"/>
        <w:spacing w:line="400" w:lineRule="exact"/>
      </w:pPr>
      <w:r>
        <w:rPr>
          <w:rFonts w:hint="eastAsia"/>
        </w:rPr>
        <w:t>新产品定型投产时；</w:t>
      </w:r>
    </w:p>
    <w:p w14:paraId="57244CEE">
      <w:pPr>
        <w:pStyle w:val="178"/>
        <w:spacing w:line="400" w:lineRule="exact"/>
      </w:pPr>
      <w:r>
        <w:rPr>
          <w:rFonts w:hint="eastAsia"/>
        </w:rPr>
        <w:t>连续停产六个月以上恢复生产时；</w:t>
      </w:r>
    </w:p>
    <w:p w14:paraId="26A826AC">
      <w:pPr>
        <w:pStyle w:val="178"/>
        <w:spacing w:line="400" w:lineRule="exact"/>
      </w:pPr>
      <w:r>
        <w:rPr>
          <w:rFonts w:hint="eastAsia"/>
        </w:rPr>
        <w:t xml:space="preserve">主要原辅料、生产工艺发生较大变化可能影响产品质量时； </w:t>
      </w:r>
    </w:p>
    <w:p w14:paraId="1BE067A8">
      <w:pPr>
        <w:pStyle w:val="178"/>
        <w:spacing w:line="400" w:lineRule="exact"/>
      </w:pPr>
      <w:r>
        <w:rPr>
          <w:rFonts w:hint="eastAsia"/>
        </w:rPr>
        <w:t>出厂检验结果与上次型式检验差异较大时；</w:t>
      </w:r>
    </w:p>
    <w:p w14:paraId="0AF56356">
      <w:pPr>
        <w:pStyle w:val="178"/>
        <w:spacing w:line="400" w:lineRule="exact"/>
      </w:pPr>
      <w:r>
        <w:rPr>
          <w:rFonts w:hint="eastAsia"/>
        </w:rPr>
        <w:t>供需双方对产品质量有争议，请第三方进行仲裁时；</w:t>
      </w:r>
    </w:p>
    <w:p w14:paraId="02F0A2C7">
      <w:pPr>
        <w:pStyle w:val="178"/>
        <w:spacing w:line="400" w:lineRule="exact"/>
      </w:pPr>
      <w:r>
        <w:rPr>
          <w:rFonts w:hint="eastAsia"/>
        </w:rPr>
        <w:t>食品监督管理部门提出要求时。</w:t>
      </w:r>
    </w:p>
    <w:p w14:paraId="64A1592C">
      <w:pPr>
        <w:pStyle w:val="109"/>
        <w:spacing w:before="120" w:after="120" w:line="400" w:lineRule="exact"/>
        <w:rPr>
          <w:rFonts w:hint="eastAsia" w:hAnsi="黑体"/>
        </w:rPr>
      </w:pPr>
      <w:r>
        <w:rPr>
          <w:rFonts w:hint="eastAsia"/>
        </w:rPr>
        <w:t>判定规则</w:t>
      </w:r>
    </w:p>
    <w:p w14:paraId="1CE6E5A0">
      <w:pPr>
        <w:pStyle w:val="169"/>
        <w:spacing w:line="400" w:lineRule="exact"/>
        <w:ind w:left="0"/>
      </w:pPr>
      <w:r>
        <w:rPr>
          <w:rFonts w:hint="eastAsia"/>
        </w:rPr>
        <w:t>符合5.1、5.2、5.3、5.4、5.6要求且提供5.5质量追溯信息的，判定为辽宁好粮油 混合全谷物米产品。</w:t>
      </w:r>
    </w:p>
    <w:p w14:paraId="6103E02C">
      <w:pPr>
        <w:pStyle w:val="169"/>
        <w:spacing w:line="400" w:lineRule="exact"/>
        <w:ind w:left="0"/>
      </w:pPr>
      <w:r>
        <w:rPr>
          <w:rFonts w:hint="eastAsia"/>
        </w:rPr>
        <w:t>初次检验不合格时，可按委托方要求加倍进行扦样复验，以复验结果为准。</w:t>
      </w:r>
    </w:p>
    <w:p w14:paraId="6CBBE8E6">
      <w:pPr>
        <w:pStyle w:val="108"/>
        <w:spacing w:before="240" w:after="240" w:line="400" w:lineRule="exact"/>
        <w:rPr>
          <w:color w:val="auto"/>
        </w:rPr>
      </w:pPr>
      <w:r>
        <w:rPr>
          <w:rFonts w:hint="eastAsia"/>
          <w:color w:val="auto"/>
        </w:rPr>
        <w:t>标签标识</w:t>
      </w:r>
    </w:p>
    <w:p w14:paraId="7FE2B57D">
      <w:pPr>
        <w:pStyle w:val="166"/>
        <w:spacing w:line="400" w:lineRule="exact"/>
        <w:rPr>
          <w:color w:val="auto"/>
        </w:rPr>
      </w:pPr>
      <w:r>
        <w:rPr>
          <w:rFonts w:hint="eastAsia"/>
          <w:color w:val="auto"/>
        </w:rPr>
        <w:t>应符合GB 7718、GB 28050、GB/T 48029和GB/T 191的规定。</w:t>
      </w:r>
    </w:p>
    <w:p w14:paraId="37597904">
      <w:pPr>
        <w:pStyle w:val="166"/>
        <w:spacing w:line="400" w:lineRule="exact"/>
        <w:rPr>
          <w:color w:val="auto"/>
        </w:rPr>
      </w:pPr>
      <w:r>
        <w:rPr>
          <w:rFonts w:hint="eastAsia"/>
          <w:color w:val="auto"/>
        </w:rPr>
        <w:t>应在包装主视面分别标示“全谷物食品(100%)”“全谷物食品(50%+)”“全谷物食</w:t>
      </w:r>
      <w:r>
        <w:rPr>
          <w:rFonts w:hint="eastAsia"/>
          <w:color w:val="auto"/>
          <w:highlight w:val="none"/>
        </w:rPr>
        <w:t>品(25%+)</w:t>
      </w:r>
      <w:r>
        <w:rPr>
          <w:color w:val="auto"/>
          <w:highlight w:val="none"/>
        </w:rPr>
        <w:t>”</w:t>
      </w:r>
      <w:r>
        <w:rPr>
          <w:rFonts w:hint="eastAsia"/>
          <w:color w:val="auto"/>
          <w:highlight w:val="none"/>
        </w:rPr>
        <w:t>,应</w:t>
      </w:r>
      <w:r>
        <w:rPr>
          <w:rFonts w:hint="eastAsia"/>
          <w:color w:val="auto"/>
        </w:rPr>
        <w:t>在包装配料表中标注产品中全谷物原料的具体含量。</w:t>
      </w:r>
    </w:p>
    <w:p w14:paraId="7E846AFC">
      <w:pPr>
        <w:pStyle w:val="166"/>
        <w:spacing w:line="400" w:lineRule="exact"/>
      </w:pPr>
      <w:r>
        <w:rPr>
          <w:rFonts w:hint="eastAsia" w:hAnsi="宋体"/>
        </w:rPr>
        <w:t>可以选择在产品包装展示版面标示相关声称指标的含量。</w:t>
      </w:r>
    </w:p>
    <w:p w14:paraId="39095243">
      <w:pPr>
        <w:pStyle w:val="166"/>
        <w:spacing w:line="400" w:lineRule="exact"/>
        <w:rPr>
          <w:rFonts w:ascii="Calibri" w:hAnsi="宋体" w:cs="宋体"/>
          <w:color w:val="000000"/>
          <w:kern w:val="2"/>
        </w:rPr>
      </w:pPr>
      <w:r>
        <w:rPr>
          <w:rFonts w:hint="eastAsia"/>
        </w:rPr>
        <w:t>标注产品二维码，其内容包括</w:t>
      </w:r>
      <w:r>
        <w:rPr>
          <w:rFonts w:hint="eastAsia"/>
          <w:lang w:val="en-US" w:eastAsia="zh-CN"/>
        </w:rPr>
        <w:t>5.2、5.3</w:t>
      </w:r>
      <w:r>
        <w:rPr>
          <w:rFonts w:hint="eastAsia"/>
        </w:rPr>
        <w:t>所有指标的检验结果</w:t>
      </w:r>
      <w:r>
        <w:rPr>
          <w:rFonts w:hint="eastAsia"/>
          <w:lang w:eastAsia="zh-CN"/>
        </w:rPr>
        <w:t>，并提供</w:t>
      </w:r>
      <w:r>
        <w:rPr>
          <w:rFonts w:hint="eastAsia"/>
          <w:lang w:val="en-US" w:eastAsia="zh-CN"/>
        </w:rPr>
        <w:t>5.5的质量追溯信息</w:t>
      </w:r>
      <w:r>
        <w:rPr>
          <w:rFonts w:hint="eastAsia"/>
        </w:rPr>
        <w:t>。</w:t>
      </w:r>
    </w:p>
    <w:p w14:paraId="309DA1CD">
      <w:pPr>
        <w:pStyle w:val="166"/>
        <w:spacing w:line="400" w:lineRule="exact"/>
        <w:rPr>
          <w:rFonts w:hint="eastAsia" w:ascii="Calibri" w:hAnsi="宋体" w:cs="宋体"/>
          <w:color w:val="000000"/>
          <w:kern w:val="2"/>
        </w:rPr>
      </w:pPr>
      <w:r>
        <w:rPr>
          <w:rFonts w:hint="eastAsia"/>
        </w:rPr>
        <w:t>标签标识示例参见附录B。</w:t>
      </w:r>
    </w:p>
    <w:p w14:paraId="35A5B2FA">
      <w:pPr>
        <w:pStyle w:val="108"/>
        <w:spacing w:before="240" w:after="240" w:line="400" w:lineRule="exact"/>
      </w:pPr>
      <w:r>
        <w:rPr>
          <w:rFonts w:hint="eastAsia"/>
        </w:rPr>
        <w:t>包装、运输和储存</w:t>
      </w:r>
    </w:p>
    <w:p w14:paraId="30CFE41B">
      <w:pPr>
        <w:pStyle w:val="109"/>
        <w:spacing w:before="120" w:after="120" w:line="400" w:lineRule="exact"/>
        <w:rPr>
          <w:color w:val="auto"/>
        </w:rPr>
      </w:pPr>
      <w:r>
        <w:rPr>
          <w:rFonts w:hint="eastAsia"/>
        </w:rPr>
        <w:t>包</w:t>
      </w:r>
      <w:r>
        <w:rPr>
          <w:rFonts w:hint="eastAsia"/>
          <w:color w:val="auto"/>
        </w:rPr>
        <w:t>装</w:t>
      </w:r>
    </w:p>
    <w:p w14:paraId="326EBDFF">
      <w:pPr>
        <w:pStyle w:val="169"/>
        <w:ind w:left="0"/>
        <w:rPr>
          <w:color w:val="auto"/>
        </w:rPr>
      </w:pPr>
      <w:r>
        <w:rPr>
          <w:rFonts w:hint="eastAsia"/>
          <w:color w:val="auto"/>
        </w:rPr>
        <w:t>产品包装应符合GB/T 17109和GB 4806.7的规定。</w:t>
      </w:r>
    </w:p>
    <w:p w14:paraId="5D7B9F79">
      <w:pPr>
        <w:pStyle w:val="69"/>
        <w:spacing w:before="120" w:after="120" w:line="400" w:lineRule="exact"/>
        <w:rPr>
          <w:rFonts w:ascii="宋体" w:eastAsia="宋体"/>
        </w:rPr>
      </w:pPr>
      <w:r>
        <w:rPr>
          <w:rFonts w:hint="eastAsia" w:ascii="宋体" w:eastAsia="宋体"/>
        </w:rPr>
        <w:t>运输包装纸箱应符合GB/T 6543规定。</w:t>
      </w:r>
    </w:p>
    <w:p w14:paraId="6AA1DBDE">
      <w:pPr>
        <w:pStyle w:val="69"/>
        <w:spacing w:before="120" w:after="120" w:line="400" w:lineRule="exact"/>
        <w:rPr>
          <w:rFonts w:ascii="宋体" w:eastAsia="宋体"/>
        </w:rPr>
      </w:pPr>
      <w:r>
        <w:rPr>
          <w:rFonts w:hint="eastAsia" w:ascii="宋体" w:eastAsia="宋体"/>
        </w:rPr>
        <w:t>包装储运图形符号标志应符合GB/T 191的规定。</w:t>
      </w:r>
    </w:p>
    <w:p w14:paraId="5E7CB79A">
      <w:pPr>
        <w:pStyle w:val="169"/>
        <w:ind w:left="0"/>
        <w:rPr>
          <w:rFonts w:hint="eastAsia" w:ascii="黑体" w:hAnsi="黑体" w:eastAsia="黑体"/>
        </w:rPr>
      </w:pPr>
      <w:r>
        <w:rPr>
          <w:rFonts w:hint="eastAsia"/>
        </w:rPr>
        <w:t>包装应牢固结实，封口严密，无渗漏，并能保证产品质量不受损坏。</w:t>
      </w:r>
    </w:p>
    <w:p w14:paraId="719C749F">
      <w:pPr>
        <w:pStyle w:val="109"/>
        <w:spacing w:before="120" w:after="120" w:line="400" w:lineRule="exact"/>
      </w:pPr>
      <w:r>
        <w:rPr>
          <w:rFonts w:hint="eastAsia"/>
        </w:rPr>
        <w:t>运输</w:t>
      </w:r>
    </w:p>
    <w:p w14:paraId="1A32E443">
      <w:pPr>
        <w:pStyle w:val="69"/>
        <w:spacing w:before="120" w:after="120" w:line="400" w:lineRule="exact"/>
        <w:rPr>
          <w:rFonts w:ascii="宋体" w:eastAsia="宋体"/>
        </w:rPr>
      </w:pPr>
      <w:r>
        <w:rPr>
          <w:rFonts w:hint="eastAsia" w:ascii="宋体" w:eastAsia="宋体"/>
        </w:rPr>
        <w:t>应使用符合食品安全要求的运输工具和容器运送产品，防止受潮、防雨、防晒、防高温，不应与有毒、有害、有异味或影响产品质量的物品混装运输。</w:t>
      </w:r>
    </w:p>
    <w:p w14:paraId="2D6B926B">
      <w:pPr>
        <w:pStyle w:val="69"/>
        <w:spacing w:before="120" w:after="120" w:line="400" w:lineRule="exact"/>
        <w:rPr>
          <w:rFonts w:ascii="宋体" w:eastAsia="宋体"/>
        </w:rPr>
      </w:pPr>
      <w:r>
        <w:rPr>
          <w:rFonts w:hint="eastAsia" w:ascii="宋体" w:eastAsia="宋体"/>
        </w:rPr>
        <w:t>运输中应轻装、轻卸，不应抛掷、重压和挤压。</w:t>
      </w:r>
    </w:p>
    <w:p w14:paraId="12DCCF91">
      <w:pPr>
        <w:pStyle w:val="109"/>
        <w:spacing w:before="120" w:after="120" w:line="400" w:lineRule="exact"/>
      </w:pPr>
      <w:r>
        <w:rPr>
          <w:rFonts w:hint="eastAsia"/>
        </w:rPr>
        <w:t>储存</w:t>
      </w:r>
    </w:p>
    <w:p w14:paraId="3C13A619">
      <w:pPr>
        <w:pStyle w:val="69"/>
        <w:spacing w:before="120" w:after="120" w:line="400" w:lineRule="exact"/>
      </w:pPr>
      <w:r>
        <w:rPr>
          <w:rFonts w:hint="eastAsia" w:ascii="宋体" w:hAnsi="宋体" w:eastAsia="宋体"/>
        </w:rPr>
        <w:t>产品应储存在清洁、卫生、干燥、通风良好、防雨、防潮、防晒、防虫、防鼠、无异味的低温仓库内，不应与有毒、有害、有异味、易挥发、易腐蚀的物品共同储存。</w:t>
      </w:r>
    </w:p>
    <w:p w14:paraId="58D7DE4E">
      <w:pPr>
        <w:pStyle w:val="69"/>
        <w:spacing w:before="120" w:after="120" w:line="400" w:lineRule="exact"/>
        <w:rPr>
          <w:rFonts w:hint="eastAsia" w:ascii="宋体" w:hAnsi="宋体" w:eastAsia="宋体"/>
        </w:rPr>
      </w:pPr>
      <w:r>
        <w:rPr>
          <w:rFonts w:hint="eastAsia" w:ascii="宋体" w:hAnsi="宋体" w:eastAsia="宋体"/>
        </w:rPr>
        <w:t>产品储存应有垫板（架），离墙20cm以上，离地10cm以上，严防污染，按批次堆放。</w:t>
      </w:r>
    </w:p>
    <w:p w14:paraId="6C782C47">
      <w:pPr>
        <w:pStyle w:val="69"/>
        <w:spacing w:before="120" w:after="120" w:line="400" w:lineRule="exact"/>
        <w:rPr>
          <w:rFonts w:hint="eastAsia" w:ascii="宋体" w:hAnsi="宋体" w:eastAsia="宋体"/>
        </w:rPr>
      </w:pPr>
      <w:r>
        <w:rPr>
          <w:rFonts w:hint="eastAsia" w:ascii="宋体" w:hAnsi="宋体" w:eastAsia="宋体"/>
        </w:rPr>
        <w:t>产品在满足上述包装、运输和储存条件下，保质期不应低于6个月。</w:t>
      </w:r>
    </w:p>
    <w:p w14:paraId="4EDB1CB1">
      <w:pPr>
        <w:pStyle w:val="60"/>
        <w:rPr>
          <w:rFonts w:hint="eastAsia" w:ascii="宋体" w:hAnsi="宋体" w:eastAsia="宋体"/>
        </w:rPr>
      </w:pPr>
    </w:p>
    <w:p w14:paraId="038011F6">
      <w:pPr>
        <w:pStyle w:val="60"/>
        <w:rPr>
          <w:rFonts w:hint="eastAsia" w:ascii="宋体" w:hAnsi="宋体" w:eastAsia="宋体"/>
        </w:rPr>
      </w:pPr>
    </w:p>
    <w:p w14:paraId="14A2A71A">
      <w:pPr>
        <w:pStyle w:val="60"/>
        <w:rPr>
          <w:rFonts w:hint="eastAsia" w:ascii="宋体" w:hAnsi="宋体" w:eastAsia="宋体"/>
        </w:rPr>
      </w:pPr>
    </w:p>
    <w:p w14:paraId="13F0E452">
      <w:pPr>
        <w:pStyle w:val="60"/>
        <w:rPr>
          <w:rFonts w:hint="eastAsia" w:ascii="宋体" w:hAnsi="宋体" w:eastAsia="宋体"/>
        </w:rPr>
      </w:pPr>
    </w:p>
    <w:p w14:paraId="3E57833E">
      <w:pPr>
        <w:pStyle w:val="60"/>
        <w:rPr>
          <w:rFonts w:hint="eastAsia" w:ascii="宋体" w:hAnsi="宋体" w:eastAsia="宋体"/>
        </w:rPr>
      </w:pPr>
    </w:p>
    <w:p w14:paraId="14E5024E">
      <w:pPr>
        <w:pStyle w:val="60"/>
        <w:rPr>
          <w:rFonts w:hint="eastAsia" w:ascii="宋体" w:hAnsi="宋体" w:eastAsia="宋体"/>
        </w:rPr>
      </w:pPr>
    </w:p>
    <w:p w14:paraId="79A4C5A6">
      <w:pPr>
        <w:pStyle w:val="60"/>
        <w:rPr>
          <w:rFonts w:hint="eastAsia" w:ascii="宋体" w:hAnsi="宋体" w:eastAsia="宋体"/>
        </w:rPr>
      </w:pPr>
    </w:p>
    <w:bookmarkEnd w:id="22"/>
    <w:p w14:paraId="61D6D307">
      <w:pPr>
        <w:pStyle w:val="203"/>
        <w:rPr>
          <w:vanish w:val="0"/>
        </w:rPr>
      </w:pPr>
      <w:bookmarkStart w:id="44" w:name="BookMark5"/>
    </w:p>
    <w:p w14:paraId="096AA404">
      <w:pPr>
        <w:pStyle w:val="80"/>
        <w:spacing w:after="120"/>
        <w:rPr>
          <w:highlight w:val="none"/>
        </w:rPr>
      </w:pPr>
      <w:r>
        <w:rPr>
          <w:highlight w:val="none"/>
        </w:rPr>
        <w:br w:type="textWrapping"/>
      </w:r>
      <w:r>
        <w:rPr>
          <w:rFonts w:hint="eastAsia"/>
          <w:highlight w:val="none"/>
        </w:rPr>
        <w:t>（资料性）</w:t>
      </w:r>
      <w:r>
        <w:rPr>
          <w:highlight w:val="none"/>
        </w:rPr>
        <w:br w:type="textWrapping"/>
      </w:r>
      <w:r>
        <w:rPr>
          <w:rFonts w:hint="eastAsia"/>
          <w:highlight w:val="none"/>
        </w:rPr>
        <w:t>追溯信息</w:t>
      </w:r>
    </w:p>
    <w:p w14:paraId="5B22D337">
      <w:pPr>
        <w:pStyle w:val="60"/>
        <w:ind w:firstLine="420"/>
        <w:rPr>
          <w:highlight w:val="none"/>
        </w:rPr>
      </w:pPr>
      <w:r>
        <w:rPr>
          <w:rFonts w:hint="eastAsia"/>
          <w:highlight w:val="none"/>
        </w:rPr>
        <w:t>辽宁好粮油 混合全谷物米质量追溯信息示例参见表A.1。</w:t>
      </w:r>
    </w:p>
    <w:p w14:paraId="620DD3CC">
      <w:pPr>
        <w:pStyle w:val="81"/>
        <w:spacing w:before="120" w:after="120"/>
        <w:rPr>
          <w:highlight w:val="none"/>
        </w:rPr>
      </w:pPr>
      <w:r>
        <w:rPr>
          <w:rFonts w:hint="eastAsia"/>
          <w:highlight w:val="none"/>
        </w:rPr>
        <w:t>辽宁好粮油 混合全谷物米质量追溯信息示例</w:t>
      </w:r>
    </w:p>
    <w:tbl>
      <w:tblPr>
        <w:tblStyle w:val="30"/>
        <w:tblW w:w="995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124"/>
        <w:gridCol w:w="2454"/>
        <w:gridCol w:w="6375"/>
      </w:tblGrid>
      <w:tr w14:paraId="3813BE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8" w:hRule="atLeast"/>
          <w:tblHeader/>
          <w:jc w:val="center"/>
        </w:trPr>
        <w:tc>
          <w:tcPr>
            <w:tcW w:w="1124" w:type="dxa"/>
            <w:tcBorders>
              <w:top w:val="single" w:color="auto" w:sz="8" w:space="0"/>
              <w:bottom w:val="single" w:color="auto" w:sz="8" w:space="0"/>
            </w:tcBorders>
            <w:vAlign w:val="center"/>
          </w:tcPr>
          <w:p w14:paraId="47832BC0">
            <w:pPr>
              <w:pStyle w:val="182"/>
              <w:rPr>
                <w:highlight w:val="none"/>
              </w:rPr>
            </w:pPr>
            <w:r>
              <w:rPr>
                <w:rFonts w:hint="eastAsia"/>
                <w:highlight w:val="none"/>
              </w:rPr>
              <w:t>信息分类</w:t>
            </w:r>
          </w:p>
        </w:tc>
        <w:tc>
          <w:tcPr>
            <w:tcW w:w="8829" w:type="dxa"/>
            <w:gridSpan w:val="2"/>
            <w:tcBorders>
              <w:top w:val="single" w:color="auto" w:sz="8" w:space="0"/>
              <w:bottom w:val="single" w:color="auto" w:sz="8" w:space="0"/>
            </w:tcBorders>
            <w:vAlign w:val="center"/>
          </w:tcPr>
          <w:p w14:paraId="0E323B25">
            <w:pPr>
              <w:pStyle w:val="182"/>
              <w:rPr>
                <w:highlight w:val="none"/>
              </w:rPr>
            </w:pPr>
            <w:r>
              <w:rPr>
                <w:rFonts w:hint="eastAsia"/>
                <w:highlight w:val="none"/>
              </w:rPr>
              <w:t>追溯信息</w:t>
            </w:r>
          </w:p>
        </w:tc>
      </w:tr>
      <w:tr w14:paraId="4718C5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1124" w:type="dxa"/>
            <w:vMerge w:val="restart"/>
            <w:vAlign w:val="center"/>
          </w:tcPr>
          <w:p w14:paraId="687F2576">
            <w:pPr>
              <w:pStyle w:val="182"/>
              <w:rPr>
                <w:highlight w:val="none"/>
              </w:rPr>
            </w:pPr>
            <w:r>
              <w:rPr>
                <w:rFonts w:hint="eastAsia"/>
                <w:highlight w:val="none"/>
              </w:rPr>
              <w:t>原料信息</w:t>
            </w:r>
          </w:p>
        </w:tc>
        <w:tc>
          <w:tcPr>
            <w:tcW w:w="2454" w:type="dxa"/>
            <w:tcBorders>
              <w:top w:val="single" w:color="000000" w:sz="12" w:space="0"/>
              <w:tl2br w:val="nil"/>
              <w:tr2bl w:val="nil"/>
            </w:tcBorders>
            <w:vAlign w:val="center"/>
          </w:tcPr>
          <w:p w14:paraId="70CD0338">
            <w:pPr>
              <w:autoSpaceDE w:val="0"/>
              <w:autoSpaceDN w:val="0"/>
              <w:spacing w:before="120" w:after="120" w:line="240" w:lineRule="exact"/>
              <w:ind w:firstLine="180" w:firstLineChars="100"/>
              <w:rPr>
                <w:rFonts w:hint="eastAsia" w:ascii="宋体" w:hAnsi="宋体" w:cs="宋体"/>
                <w:sz w:val="18"/>
                <w:szCs w:val="18"/>
                <w:highlight w:val="none"/>
                <w:lang w:val="zh-CN" w:bidi="zh-CN"/>
              </w:rPr>
            </w:pPr>
            <w:r>
              <w:rPr>
                <w:rFonts w:hint="eastAsia" w:ascii="宋体" w:hAnsi="宋体" w:cs="宋体"/>
                <w:sz w:val="18"/>
                <w:szCs w:val="18"/>
                <w:highlight w:val="none"/>
                <w:lang w:val="zh-CN" w:bidi="zh-CN"/>
              </w:rPr>
              <w:t>配料名称</w:t>
            </w:r>
          </w:p>
        </w:tc>
        <w:tc>
          <w:tcPr>
            <w:tcW w:w="6375" w:type="dxa"/>
            <w:tcBorders>
              <w:top w:val="single" w:color="000000" w:sz="12" w:space="0"/>
              <w:tl2br w:val="nil"/>
              <w:tr2bl w:val="nil"/>
            </w:tcBorders>
            <w:vAlign w:val="center"/>
          </w:tcPr>
          <w:p w14:paraId="04017601">
            <w:pPr>
              <w:autoSpaceDE w:val="0"/>
              <w:autoSpaceDN w:val="0"/>
              <w:spacing w:before="120" w:after="120" w:line="240" w:lineRule="exact"/>
              <w:ind w:firstLine="180" w:firstLineChars="100"/>
              <w:jc w:val="left"/>
              <w:rPr>
                <w:rFonts w:hint="eastAsia" w:ascii="宋体" w:hAnsi="宋体" w:cs="宋体"/>
                <w:sz w:val="18"/>
                <w:szCs w:val="18"/>
                <w:highlight w:val="none"/>
                <w:lang w:val="zh-CN" w:bidi="zh-CN"/>
              </w:rPr>
            </w:pPr>
            <w:r>
              <w:rPr>
                <w:rFonts w:hint="eastAsia" w:ascii="宋体" w:hAnsi="宋体" w:cs="宋体"/>
                <w:sz w:val="18"/>
                <w:szCs w:val="18"/>
                <w:highlight w:val="none"/>
                <w:lang w:val="zh-CN" w:bidi="zh-CN"/>
              </w:rPr>
              <w:t>标注示例：</w:t>
            </w:r>
            <w:r>
              <w:rPr>
                <w:rFonts w:hint="eastAsia" w:ascii="FZShuSong-Z01" w:hAnsi="FZShuSong-Z01" w:eastAsia="FZShuSong-Z01" w:cs="FZShuSong-Z01"/>
                <w:color w:val="000000"/>
                <w:kern w:val="0"/>
                <w:sz w:val="19"/>
                <w:szCs w:val="19"/>
                <w:highlight w:val="none"/>
                <w:lang w:bidi="ar"/>
              </w:rPr>
              <w:t>黑米</w:t>
            </w:r>
            <w:r>
              <w:rPr>
                <w:rFonts w:ascii="E-BZ" w:hAnsi="E-BZ" w:eastAsia="E-BZ" w:cs="E-BZ"/>
                <w:color w:val="000000"/>
                <w:kern w:val="0"/>
                <w:sz w:val="19"/>
                <w:szCs w:val="19"/>
                <w:highlight w:val="none"/>
                <w:lang w:bidi="ar"/>
              </w:rPr>
              <w:t>、</w:t>
            </w:r>
            <w:r>
              <w:rPr>
                <w:rFonts w:hint="eastAsia" w:ascii="FZShuSong-Z01" w:hAnsi="FZShuSong-Z01" w:eastAsia="FZShuSong-Z01" w:cs="FZShuSong-Z01"/>
                <w:color w:val="000000"/>
                <w:kern w:val="0"/>
                <w:sz w:val="19"/>
                <w:szCs w:val="19"/>
                <w:highlight w:val="none"/>
                <w:lang w:bidi="ar"/>
              </w:rPr>
              <w:t>糙米、留胚米</w:t>
            </w:r>
          </w:p>
        </w:tc>
      </w:tr>
      <w:tr w14:paraId="47AFA6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1C512DC3">
            <w:pPr>
              <w:pStyle w:val="182"/>
              <w:rPr>
                <w:highlight w:val="none"/>
              </w:rPr>
            </w:pPr>
          </w:p>
        </w:tc>
        <w:tc>
          <w:tcPr>
            <w:tcW w:w="2454" w:type="dxa"/>
            <w:tcBorders>
              <w:tl2br w:val="nil"/>
              <w:tr2bl w:val="nil"/>
            </w:tcBorders>
            <w:vAlign w:val="center"/>
          </w:tcPr>
          <w:p w14:paraId="71554038">
            <w:pPr>
              <w:autoSpaceDE w:val="0"/>
              <w:autoSpaceDN w:val="0"/>
              <w:spacing w:before="120" w:after="120" w:line="240" w:lineRule="exact"/>
              <w:ind w:firstLine="180" w:firstLineChars="100"/>
              <w:rPr>
                <w:rFonts w:hint="eastAsia" w:ascii="宋体" w:hAnsi="宋体" w:cs="宋体"/>
                <w:sz w:val="18"/>
                <w:szCs w:val="18"/>
                <w:highlight w:val="none"/>
                <w:lang w:val="zh-CN" w:bidi="zh-CN"/>
              </w:rPr>
            </w:pPr>
            <w:r>
              <w:rPr>
                <w:rFonts w:hint="eastAsia" w:ascii="宋体" w:hAnsi="宋体" w:cs="宋体"/>
                <w:sz w:val="18"/>
                <w:szCs w:val="18"/>
                <w:highlight w:val="none"/>
                <w:lang w:val="zh-CN" w:bidi="zh-CN"/>
              </w:rPr>
              <w:t>配料等级、类型</w:t>
            </w:r>
          </w:p>
        </w:tc>
        <w:tc>
          <w:tcPr>
            <w:tcW w:w="6375" w:type="dxa"/>
            <w:tcBorders>
              <w:tl2br w:val="nil"/>
              <w:tr2bl w:val="nil"/>
            </w:tcBorders>
            <w:vAlign w:val="center"/>
          </w:tcPr>
          <w:p w14:paraId="6E8D8EE4">
            <w:pPr>
              <w:autoSpaceDE w:val="0"/>
              <w:autoSpaceDN w:val="0"/>
              <w:spacing w:before="120" w:after="120" w:line="240" w:lineRule="exact"/>
              <w:ind w:firstLine="180" w:firstLineChars="100"/>
              <w:jc w:val="left"/>
              <w:rPr>
                <w:rFonts w:hint="eastAsia" w:ascii="宋体" w:hAnsi="宋体" w:cs="宋体"/>
                <w:sz w:val="18"/>
                <w:szCs w:val="18"/>
                <w:highlight w:val="none"/>
                <w:lang w:val="zh-CN" w:bidi="zh-CN"/>
              </w:rPr>
            </w:pPr>
            <w:r>
              <w:rPr>
                <w:rFonts w:hint="eastAsia" w:ascii="宋体" w:hAnsi="宋体" w:cs="宋体"/>
                <w:sz w:val="18"/>
                <w:szCs w:val="18"/>
                <w:highlight w:val="none"/>
                <w:lang w:val="zh-CN" w:bidi="zh-CN"/>
              </w:rPr>
              <w:t>标注示例：黑米：一等、粳糯型等。不分等级、类型的可写符合</w:t>
            </w:r>
            <w:r>
              <w:rPr>
                <w:rFonts w:hint="eastAsia" w:ascii="宋体" w:hAnsi="宋体" w:cs="宋体"/>
                <w:sz w:val="18"/>
                <w:szCs w:val="18"/>
                <w:highlight w:val="none"/>
                <w:lang w:bidi="zh-CN"/>
              </w:rPr>
              <w:t>XX标</w:t>
            </w:r>
            <w:r>
              <w:rPr>
                <w:rFonts w:hint="eastAsia" w:ascii="宋体" w:hAnsi="宋体" w:cs="宋体"/>
                <w:sz w:val="18"/>
                <w:szCs w:val="18"/>
                <w:highlight w:val="none"/>
                <w:lang w:val="zh-CN" w:bidi="zh-CN"/>
              </w:rPr>
              <w:t>准要求。</w:t>
            </w:r>
          </w:p>
        </w:tc>
      </w:tr>
      <w:tr w14:paraId="739891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38825036">
            <w:pPr>
              <w:pStyle w:val="182"/>
            </w:pPr>
          </w:p>
        </w:tc>
        <w:tc>
          <w:tcPr>
            <w:tcW w:w="2454" w:type="dxa"/>
            <w:tcBorders>
              <w:tl2br w:val="nil"/>
              <w:tr2bl w:val="nil"/>
            </w:tcBorders>
            <w:vAlign w:val="center"/>
          </w:tcPr>
          <w:p w14:paraId="7A4BFB62">
            <w:pPr>
              <w:autoSpaceDE w:val="0"/>
              <w:autoSpaceDN w:val="0"/>
              <w:spacing w:before="120" w:after="120" w:line="240" w:lineRule="exact"/>
              <w:ind w:right="236" w:firstLine="180" w:firstLineChars="100"/>
              <w:rPr>
                <w:rFonts w:hint="eastAsia" w:ascii="宋体" w:hAnsi="宋体" w:cs="宋体"/>
                <w:sz w:val="18"/>
                <w:szCs w:val="18"/>
                <w:lang w:val="zh-CN" w:bidi="zh-CN"/>
              </w:rPr>
            </w:pPr>
            <w:r>
              <w:rPr>
                <w:rFonts w:hint="eastAsia" w:ascii="宋体" w:hAnsi="宋体" w:cs="宋体"/>
                <w:sz w:val="18"/>
                <w:szCs w:val="18"/>
                <w:lang w:val="zh-CN" w:bidi="zh-CN"/>
              </w:rPr>
              <w:t>原产地/生产基地（厂家）</w:t>
            </w:r>
          </w:p>
        </w:tc>
        <w:tc>
          <w:tcPr>
            <w:tcW w:w="6375" w:type="dxa"/>
            <w:tcBorders>
              <w:tl2br w:val="nil"/>
              <w:tr2bl w:val="nil"/>
            </w:tcBorders>
            <w:vAlign w:val="center"/>
          </w:tcPr>
          <w:p w14:paraId="4FF7E1A7">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标注示例：产地信息到镇或农场（厂家），如：黑米：xx 镇或 xx 农场（厂家）。</w:t>
            </w:r>
          </w:p>
        </w:tc>
      </w:tr>
      <w:tr w14:paraId="714747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3F192A55">
            <w:pPr>
              <w:pStyle w:val="182"/>
            </w:pPr>
          </w:p>
        </w:tc>
        <w:tc>
          <w:tcPr>
            <w:tcW w:w="2454" w:type="dxa"/>
            <w:tcBorders>
              <w:tl2br w:val="nil"/>
              <w:tr2bl w:val="nil"/>
            </w:tcBorders>
            <w:vAlign w:val="center"/>
          </w:tcPr>
          <w:p w14:paraId="4379D738">
            <w:pPr>
              <w:autoSpaceDE w:val="0"/>
              <w:autoSpaceDN w:val="0"/>
              <w:spacing w:before="120" w:after="120" w:line="240" w:lineRule="exact"/>
              <w:ind w:firstLine="180" w:firstLineChars="100"/>
              <w:rPr>
                <w:rFonts w:hint="eastAsia" w:ascii="宋体" w:hAnsi="宋体" w:cs="宋体"/>
                <w:sz w:val="18"/>
                <w:szCs w:val="18"/>
                <w:lang w:val="zh-CN" w:bidi="zh-CN"/>
              </w:rPr>
            </w:pPr>
            <w:r>
              <w:rPr>
                <w:rFonts w:hint="eastAsia" w:ascii="宋体" w:hAnsi="宋体" w:cs="宋体"/>
                <w:sz w:val="18"/>
                <w:szCs w:val="18"/>
                <w:lang w:val="zh-CN" w:bidi="zh-CN"/>
              </w:rPr>
              <w:t>生产日期</w:t>
            </w:r>
          </w:p>
        </w:tc>
        <w:tc>
          <w:tcPr>
            <w:tcW w:w="6375" w:type="dxa"/>
            <w:tcBorders>
              <w:tl2br w:val="nil"/>
              <w:tr2bl w:val="nil"/>
            </w:tcBorders>
            <w:vAlign w:val="center"/>
          </w:tcPr>
          <w:p w14:paraId="34425F1A">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标注示例：黑米：xx年生产。</w:t>
            </w:r>
          </w:p>
        </w:tc>
      </w:tr>
      <w:tr w14:paraId="5CC7AF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568FF323">
            <w:pPr>
              <w:pStyle w:val="182"/>
            </w:pPr>
          </w:p>
        </w:tc>
        <w:tc>
          <w:tcPr>
            <w:tcW w:w="2454" w:type="dxa"/>
            <w:tcBorders>
              <w:tl2br w:val="nil"/>
              <w:tr2bl w:val="nil"/>
            </w:tcBorders>
            <w:vAlign w:val="center"/>
          </w:tcPr>
          <w:p w14:paraId="6B6F7189">
            <w:pPr>
              <w:autoSpaceDE w:val="0"/>
              <w:autoSpaceDN w:val="0"/>
              <w:spacing w:before="120" w:after="120" w:line="240" w:lineRule="exact"/>
              <w:ind w:firstLine="180" w:firstLineChars="100"/>
              <w:rPr>
                <w:rFonts w:hint="eastAsia" w:ascii="宋体" w:hAnsi="宋体" w:cs="宋体"/>
                <w:sz w:val="18"/>
                <w:szCs w:val="18"/>
                <w:lang w:val="zh-CN" w:bidi="zh-CN"/>
              </w:rPr>
            </w:pPr>
            <w:r>
              <w:rPr>
                <w:rFonts w:hint="eastAsia" w:ascii="宋体" w:hAnsi="宋体" w:cs="宋体"/>
                <w:sz w:val="18"/>
                <w:szCs w:val="18"/>
                <w:lang w:val="zh-CN" w:bidi="zh-CN"/>
              </w:rPr>
              <w:t>包装方式</w:t>
            </w:r>
          </w:p>
        </w:tc>
        <w:tc>
          <w:tcPr>
            <w:tcW w:w="6375" w:type="dxa"/>
            <w:tcBorders>
              <w:tl2br w:val="nil"/>
              <w:tr2bl w:val="nil"/>
            </w:tcBorders>
            <w:vAlign w:val="center"/>
          </w:tcPr>
          <w:p w14:paraId="2D637D39">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标注示例：密封、袋装、散装等。</w:t>
            </w:r>
          </w:p>
        </w:tc>
      </w:tr>
      <w:tr w14:paraId="64D570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739BF9C7">
            <w:pPr>
              <w:pStyle w:val="182"/>
            </w:pPr>
          </w:p>
        </w:tc>
        <w:tc>
          <w:tcPr>
            <w:tcW w:w="2454" w:type="dxa"/>
            <w:tcBorders>
              <w:tl2br w:val="nil"/>
              <w:tr2bl w:val="nil"/>
            </w:tcBorders>
            <w:vAlign w:val="center"/>
          </w:tcPr>
          <w:p w14:paraId="41CA2FF8">
            <w:pPr>
              <w:autoSpaceDE w:val="0"/>
              <w:autoSpaceDN w:val="0"/>
              <w:spacing w:before="120" w:after="120" w:line="240" w:lineRule="exact"/>
              <w:jc w:val="left"/>
              <w:rPr>
                <w:rFonts w:hint="eastAsia" w:ascii="宋体" w:hAnsi="宋体" w:cs="宋体"/>
                <w:sz w:val="18"/>
                <w:szCs w:val="18"/>
                <w:lang w:val="zh-CN" w:bidi="zh-CN"/>
              </w:rPr>
            </w:pPr>
            <w:r>
              <w:rPr>
                <w:rFonts w:hint="eastAsia" w:ascii="宋体" w:hAnsi="宋体" w:cs="宋体"/>
                <w:sz w:val="18"/>
                <w:szCs w:val="18"/>
                <w:lang w:bidi="zh-CN"/>
              </w:rPr>
              <w:t xml:space="preserve">  </w:t>
            </w:r>
            <w:r>
              <w:rPr>
                <w:rFonts w:hint="eastAsia" w:ascii="宋体" w:hAnsi="宋体" w:cs="宋体"/>
                <w:sz w:val="18"/>
                <w:szCs w:val="18"/>
                <w:lang w:val="zh-CN" w:bidi="zh-CN"/>
              </w:rPr>
              <w:t>储存条件</w:t>
            </w:r>
          </w:p>
        </w:tc>
        <w:tc>
          <w:tcPr>
            <w:tcW w:w="6375" w:type="dxa"/>
            <w:tcBorders>
              <w:tl2br w:val="nil"/>
              <w:tr2bl w:val="nil"/>
            </w:tcBorders>
            <w:vAlign w:val="center"/>
          </w:tcPr>
          <w:p w14:paraId="049F0D7F">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标注示例：常温或低温或准低温</w:t>
            </w:r>
          </w:p>
        </w:tc>
      </w:tr>
      <w:tr w14:paraId="1C9E85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6B54E34D">
            <w:pPr>
              <w:pStyle w:val="182"/>
            </w:pPr>
          </w:p>
        </w:tc>
        <w:tc>
          <w:tcPr>
            <w:tcW w:w="2454" w:type="dxa"/>
            <w:tcBorders>
              <w:tl2br w:val="nil"/>
              <w:tr2bl w:val="nil"/>
            </w:tcBorders>
            <w:vAlign w:val="center"/>
          </w:tcPr>
          <w:p w14:paraId="32A0ECB8">
            <w:pPr>
              <w:autoSpaceDE w:val="0"/>
              <w:autoSpaceDN w:val="0"/>
              <w:spacing w:before="120" w:after="120" w:line="240" w:lineRule="exact"/>
              <w:jc w:val="left"/>
              <w:rPr>
                <w:rFonts w:hint="eastAsia" w:ascii="宋体" w:hAnsi="宋体" w:cs="宋体"/>
                <w:sz w:val="18"/>
                <w:szCs w:val="18"/>
                <w:lang w:val="zh-CN" w:bidi="zh-CN"/>
              </w:rPr>
            </w:pPr>
            <w:r>
              <w:rPr>
                <w:rFonts w:hint="eastAsia" w:ascii="宋体" w:hAnsi="宋体" w:cs="宋体"/>
                <w:sz w:val="18"/>
                <w:szCs w:val="18"/>
                <w:lang w:bidi="zh-CN"/>
              </w:rPr>
              <w:t xml:space="preserve">  </w:t>
            </w:r>
            <w:r>
              <w:rPr>
                <w:rFonts w:hint="eastAsia" w:ascii="宋体" w:hAnsi="宋体" w:cs="宋体"/>
                <w:sz w:val="18"/>
                <w:szCs w:val="18"/>
                <w:lang w:val="zh-CN" w:bidi="zh-CN"/>
              </w:rPr>
              <w:t>储存地点</w:t>
            </w:r>
          </w:p>
        </w:tc>
        <w:tc>
          <w:tcPr>
            <w:tcW w:w="6375" w:type="dxa"/>
            <w:tcBorders>
              <w:tl2br w:val="nil"/>
              <w:tr2bl w:val="nil"/>
            </w:tcBorders>
            <w:vAlign w:val="center"/>
          </w:tcPr>
          <w:p w14:paraId="62A63079">
            <w:pPr>
              <w:autoSpaceDE w:val="0"/>
              <w:autoSpaceDN w:val="0"/>
              <w:spacing w:before="120" w:after="120" w:line="240" w:lineRule="exact"/>
              <w:ind w:firstLine="180" w:firstLineChars="100"/>
              <w:jc w:val="left"/>
              <w:rPr>
                <w:rFonts w:hint="eastAsia" w:ascii="宋体" w:hAnsi="宋体" w:cs="宋体"/>
                <w:sz w:val="18"/>
                <w:szCs w:val="18"/>
                <w:lang w:bidi="zh-CN"/>
              </w:rPr>
            </w:pPr>
            <w:r>
              <w:rPr>
                <w:rFonts w:hint="eastAsia" w:ascii="宋体" w:hAnsi="宋体" w:cs="宋体"/>
                <w:sz w:val="18"/>
                <w:szCs w:val="18"/>
                <w:lang w:val="zh-CN" w:bidi="zh-CN"/>
              </w:rPr>
              <w:t xml:space="preserve">标注示例：xx </w:t>
            </w:r>
            <w:r>
              <w:rPr>
                <w:rFonts w:hint="eastAsia" w:ascii="宋体" w:hAnsi="宋体" w:cs="宋体"/>
                <w:sz w:val="18"/>
                <w:szCs w:val="18"/>
                <w:lang w:bidi="zh-CN"/>
              </w:rPr>
              <w:t>仓库、</w:t>
            </w:r>
            <w:r>
              <w:rPr>
                <w:rFonts w:hint="eastAsia" w:ascii="宋体" w:hAnsi="宋体" w:cs="宋体"/>
                <w:sz w:val="18"/>
                <w:szCs w:val="18"/>
                <w:lang w:val="zh-CN" w:bidi="zh-CN"/>
              </w:rPr>
              <w:t xml:space="preserve">xx </w:t>
            </w:r>
            <w:r>
              <w:rPr>
                <w:rFonts w:hint="eastAsia" w:ascii="宋体" w:hAnsi="宋体" w:cs="宋体"/>
                <w:sz w:val="18"/>
                <w:szCs w:val="18"/>
                <w:lang w:bidi="zh-CN"/>
              </w:rPr>
              <w:t>厂家。</w:t>
            </w:r>
          </w:p>
        </w:tc>
      </w:tr>
      <w:tr w14:paraId="368D51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087FB5E9">
            <w:pPr>
              <w:pStyle w:val="182"/>
            </w:pPr>
          </w:p>
        </w:tc>
        <w:tc>
          <w:tcPr>
            <w:tcW w:w="2454" w:type="dxa"/>
            <w:tcBorders>
              <w:tl2br w:val="nil"/>
              <w:tr2bl w:val="nil"/>
            </w:tcBorders>
            <w:vAlign w:val="center"/>
          </w:tcPr>
          <w:p w14:paraId="2672541C">
            <w:pPr>
              <w:autoSpaceDE w:val="0"/>
              <w:autoSpaceDN w:val="0"/>
              <w:spacing w:before="120" w:after="120" w:line="240" w:lineRule="exact"/>
              <w:ind w:right="624"/>
              <w:jc w:val="left"/>
              <w:rPr>
                <w:rFonts w:hint="eastAsia" w:ascii="宋体" w:hAnsi="宋体" w:cs="宋体"/>
                <w:sz w:val="18"/>
                <w:szCs w:val="18"/>
                <w:lang w:val="zh-CN" w:bidi="zh-CN"/>
              </w:rPr>
            </w:pPr>
            <w:r>
              <w:rPr>
                <w:rFonts w:hint="eastAsia" w:ascii="宋体" w:hAnsi="宋体" w:cs="宋体"/>
                <w:sz w:val="18"/>
                <w:szCs w:val="18"/>
                <w:lang w:bidi="zh-CN"/>
              </w:rPr>
              <w:t xml:space="preserve">  </w:t>
            </w:r>
            <w:r>
              <w:rPr>
                <w:rFonts w:hint="eastAsia" w:ascii="宋体" w:hAnsi="宋体" w:cs="宋体"/>
                <w:sz w:val="18"/>
                <w:szCs w:val="18"/>
                <w:lang w:val="zh-CN" w:bidi="zh-CN"/>
              </w:rPr>
              <w:t>储存量</w:t>
            </w:r>
          </w:p>
        </w:tc>
        <w:tc>
          <w:tcPr>
            <w:tcW w:w="6375" w:type="dxa"/>
            <w:tcBorders>
              <w:tl2br w:val="nil"/>
              <w:tr2bl w:val="nil"/>
            </w:tcBorders>
            <w:vAlign w:val="center"/>
          </w:tcPr>
          <w:p w14:paraId="0B116CF3">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 xml:space="preserve">标注示例：xx </w:t>
            </w:r>
            <w:r>
              <w:rPr>
                <w:rFonts w:ascii="宋体" w:hAnsi="宋体" w:cs="宋体"/>
                <w:sz w:val="18"/>
                <w:szCs w:val="18"/>
                <w:lang w:bidi="zh-CN"/>
              </w:rPr>
              <w:t>t</w:t>
            </w:r>
            <w:r>
              <w:rPr>
                <w:rFonts w:hint="eastAsia" w:ascii="宋体" w:hAnsi="宋体" w:cs="宋体"/>
                <w:sz w:val="18"/>
                <w:szCs w:val="18"/>
                <w:lang w:val="zh-CN" w:bidi="zh-CN"/>
              </w:rPr>
              <w:t>，显示可交易的数量。</w:t>
            </w:r>
          </w:p>
        </w:tc>
      </w:tr>
      <w:tr w14:paraId="4C782B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restart"/>
            <w:vAlign w:val="center"/>
          </w:tcPr>
          <w:p w14:paraId="66744166">
            <w:pPr>
              <w:pStyle w:val="182"/>
            </w:pPr>
            <w:r>
              <w:rPr>
                <w:rFonts w:hint="eastAsia"/>
              </w:rPr>
              <w:t>生产信息</w:t>
            </w:r>
          </w:p>
        </w:tc>
        <w:tc>
          <w:tcPr>
            <w:tcW w:w="2454" w:type="dxa"/>
            <w:tcBorders>
              <w:tl2br w:val="nil"/>
              <w:tr2bl w:val="nil"/>
            </w:tcBorders>
            <w:vAlign w:val="center"/>
          </w:tcPr>
          <w:p w14:paraId="14FDC4C4">
            <w:pPr>
              <w:autoSpaceDE w:val="0"/>
              <w:autoSpaceDN w:val="0"/>
              <w:spacing w:before="120" w:after="120" w:line="240" w:lineRule="exact"/>
              <w:ind w:firstLine="180" w:firstLineChars="100"/>
              <w:jc w:val="left"/>
              <w:rPr>
                <w:rFonts w:hint="eastAsia" w:ascii="宋体" w:hAnsi="宋体" w:cs="宋体"/>
                <w:sz w:val="18"/>
                <w:szCs w:val="18"/>
                <w:lang w:bidi="zh-CN"/>
              </w:rPr>
            </w:pPr>
            <w:r>
              <w:rPr>
                <w:rFonts w:hint="eastAsia" w:ascii="宋体" w:hAnsi="宋体" w:cs="宋体"/>
                <w:sz w:val="18"/>
                <w:szCs w:val="18"/>
                <w:lang w:bidi="zh-CN"/>
              </w:rPr>
              <w:t>生产厂家</w:t>
            </w:r>
          </w:p>
        </w:tc>
        <w:tc>
          <w:tcPr>
            <w:tcW w:w="6375" w:type="dxa"/>
            <w:tcBorders>
              <w:tl2br w:val="nil"/>
              <w:tr2bl w:val="nil"/>
            </w:tcBorders>
            <w:vAlign w:val="center"/>
          </w:tcPr>
          <w:p w14:paraId="66725D74">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标注示例：产地信息到镇或农场（厂家），如：黑米：xx 镇或 xx 农场（厂家）。</w:t>
            </w:r>
          </w:p>
        </w:tc>
      </w:tr>
      <w:tr w14:paraId="52C29F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392C4041">
            <w:pPr>
              <w:pStyle w:val="182"/>
            </w:pPr>
          </w:p>
        </w:tc>
        <w:tc>
          <w:tcPr>
            <w:tcW w:w="2454" w:type="dxa"/>
            <w:tcBorders>
              <w:tl2br w:val="nil"/>
              <w:tr2bl w:val="nil"/>
            </w:tcBorders>
            <w:vAlign w:val="center"/>
          </w:tcPr>
          <w:p w14:paraId="71A9CAA3">
            <w:pPr>
              <w:autoSpaceDE w:val="0"/>
              <w:autoSpaceDN w:val="0"/>
              <w:spacing w:before="120" w:after="120" w:line="240" w:lineRule="exact"/>
              <w:jc w:val="left"/>
              <w:rPr>
                <w:rFonts w:hint="eastAsia" w:ascii="宋体" w:hAnsi="宋体" w:cs="宋体"/>
                <w:sz w:val="18"/>
                <w:szCs w:val="18"/>
                <w:lang w:val="zh-CN" w:bidi="zh-CN"/>
              </w:rPr>
            </w:pPr>
            <w:r>
              <w:rPr>
                <w:rFonts w:hint="eastAsia" w:ascii="宋体" w:hAnsi="宋体" w:cs="宋体"/>
                <w:sz w:val="18"/>
                <w:szCs w:val="18"/>
                <w:lang w:bidi="zh-CN"/>
              </w:rPr>
              <w:t xml:space="preserve">  </w:t>
            </w:r>
            <w:r>
              <w:rPr>
                <w:rFonts w:hint="eastAsia" w:ascii="宋体" w:hAnsi="宋体"/>
                <w:sz w:val="18"/>
                <w:szCs w:val="18"/>
              </w:rPr>
              <w:t>生产日期</w:t>
            </w:r>
          </w:p>
        </w:tc>
        <w:tc>
          <w:tcPr>
            <w:tcW w:w="6375" w:type="dxa"/>
            <w:tcBorders>
              <w:tl2br w:val="nil"/>
              <w:tr2bl w:val="nil"/>
            </w:tcBorders>
            <w:vAlign w:val="center"/>
          </w:tcPr>
          <w:p w14:paraId="19CFC4EE">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标注示例：xx 年 xx 月 xx 日。</w:t>
            </w:r>
          </w:p>
        </w:tc>
      </w:tr>
      <w:tr w14:paraId="737FC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0F765E11">
            <w:pPr>
              <w:pStyle w:val="182"/>
            </w:pPr>
          </w:p>
        </w:tc>
        <w:tc>
          <w:tcPr>
            <w:tcW w:w="2454" w:type="dxa"/>
            <w:tcBorders>
              <w:tl2br w:val="nil"/>
              <w:tr2bl w:val="nil"/>
            </w:tcBorders>
            <w:vAlign w:val="center"/>
          </w:tcPr>
          <w:p w14:paraId="4B036E31">
            <w:pPr>
              <w:autoSpaceDE w:val="0"/>
              <w:autoSpaceDN w:val="0"/>
              <w:spacing w:before="120" w:after="120" w:line="240" w:lineRule="exact"/>
              <w:jc w:val="left"/>
              <w:rPr>
                <w:rFonts w:hint="eastAsia" w:ascii="宋体" w:hAnsi="宋体" w:cs="宋体"/>
                <w:sz w:val="18"/>
                <w:szCs w:val="18"/>
                <w:lang w:bidi="zh-CN"/>
              </w:rPr>
            </w:pPr>
            <w:r>
              <w:rPr>
                <w:rFonts w:hint="eastAsia" w:ascii="宋体" w:hAnsi="宋体" w:cs="宋体"/>
                <w:sz w:val="18"/>
                <w:szCs w:val="18"/>
                <w:lang w:bidi="zh-CN"/>
              </w:rPr>
              <w:t xml:space="preserve">  加工工艺</w:t>
            </w:r>
          </w:p>
        </w:tc>
        <w:tc>
          <w:tcPr>
            <w:tcW w:w="6375" w:type="dxa"/>
            <w:tcBorders>
              <w:tl2br w:val="nil"/>
              <w:tr2bl w:val="nil"/>
            </w:tcBorders>
            <w:vAlign w:val="center"/>
          </w:tcPr>
          <w:p w14:paraId="5DA73A98">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标注示例：脱壳、碾磨程度等。</w:t>
            </w:r>
          </w:p>
        </w:tc>
      </w:tr>
      <w:tr w14:paraId="514D0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094966FB">
            <w:pPr>
              <w:pStyle w:val="182"/>
            </w:pPr>
          </w:p>
        </w:tc>
        <w:tc>
          <w:tcPr>
            <w:tcW w:w="2454" w:type="dxa"/>
            <w:tcBorders>
              <w:tl2br w:val="nil"/>
              <w:tr2bl w:val="nil"/>
            </w:tcBorders>
            <w:vAlign w:val="center"/>
          </w:tcPr>
          <w:p w14:paraId="60006540">
            <w:pPr>
              <w:autoSpaceDE w:val="0"/>
              <w:autoSpaceDN w:val="0"/>
              <w:spacing w:before="120" w:after="120" w:line="240" w:lineRule="exact"/>
              <w:jc w:val="left"/>
              <w:rPr>
                <w:rFonts w:hint="eastAsia" w:ascii="宋体" w:hAnsi="宋体" w:cs="宋体"/>
                <w:sz w:val="18"/>
                <w:szCs w:val="18"/>
                <w:lang w:val="zh-CN" w:bidi="zh-CN"/>
              </w:rPr>
            </w:pPr>
            <w:r>
              <w:rPr>
                <w:rFonts w:hint="eastAsia" w:ascii="宋体" w:hAnsi="宋体" w:cs="宋体"/>
                <w:sz w:val="18"/>
                <w:szCs w:val="18"/>
                <w:lang w:bidi="zh-CN"/>
              </w:rPr>
              <w:t xml:space="preserve">  </w:t>
            </w:r>
            <w:r>
              <w:rPr>
                <w:rFonts w:hint="eastAsia" w:ascii="宋体" w:hAnsi="宋体" w:cs="宋体"/>
                <w:sz w:val="18"/>
                <w:szCs w:val="18"/>
                <w:lang w:val="zh-CN" w:bidi="zh-CN"/>
              </w:rPr>
              <w:t>运输方式</w:t>
            </w:r>
          </w:p>
        </w:tc>
        <w:tc>
          <w:tcPr>
            <w:tcW w:w="6375" w:type="dxa"/>
            <w:tcBorders>
              <w:tl2br w:val="nil"/>
              <w:tr2bl w:val="nil"/>
            </w:tcBorders>
            <w:vAlign w:val="center"/>
          </w:tcPr>
          <w:p w14:paraId="0A393FB0">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标注示例：铁路或公路等，常温或冷链。</w:t>
            </w:r>
          </w:p>
        </w:tc>
      </w:tr>
      <w:tr w14:paraId="01B4A4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Merge w:val="continue"/>
            <w:vAlign w:val="center"/>
          </w:tcPr>
          <w:p w14:paraId="13A9AEBF">
            <w:pPr>
              <w:pStyle w:val="182"/>
            </w:pPr>
          </w:p>
        </w:tc>
        <w:tc>
          <w:tcPr>
            <w:tcW w:w="2454" w:type="dxa"/>
            <w:tcBorders>
              <w:tl2br w:val="nil"/>
              <w:tr2bl w:val="nil"/>
            </w:tcBorders>
            <w:vAlign w:val="center"/>
          </w:tcPr>
          <w:p w14:paraId="6FA19E24">
            <w:pPr>
              <w:autoSpaceDE w:val="0"/>
              <w:autoSpaceDN w:val="0"/>
              <w:spacing w:before="120" w:after="120" w:line="240" w:lineRule="exact"/>
              <w:jc w:val="left"/>
              <w:rPr>
                <w:rFonts w:hint="eastAsia" w:ascii="宋体" w:hAnsi="宋体" w:cs="宋体"/>
                <w:sz w:val="18"/>
                <w:szCs w:val="18"/>
                <w:lang w:val="zh-CN" w:bidi="zh-CN"/>
              </w:rPr>
            </w:pPr>
            <w:r>
              <w:rPr>
                <w:rFonts w:hint="eastAsia" w:ascii="宋体" w:hAnsi="宋体" w:cs="宋体"/>
                <w:sz w:val="18"/>
                <w:szCs w:val="18"/>
                <w:lang w:bidi="zh-CN"/>
              </w:rPr>
              <w:t xml:space="preserve">  </w:t>
            </w:r>
            <w:r>
              <w:rPr>
                <w:rFonts w:hint="eastAsia" w:ascii="宋体" w:hAnsi="宋体" w:cs="宋体"/>
                <w:sz w:val="18"/>
                <w:szCs w:val="18"/>
                <w:lang w:val="zh-CN" w:bidi="zh-CN"/>
              </w:rPr>
              <w:t>储存条件</w:t>
            </w:r>
          </w:p>
        </w:tc>
        <w:tc>
          <w:tcPr>
            <w:tcW w:w="6375" w:type="dxa"/>
            <w:tcBorders>
              <w:tl2br w:val="nil"/>
              <w:tr2bl w:val="nil"/>
            </w:tcBorders>
            <w:vAlign w:val="center"/>
          </w:tcPr>
          <w:p w14:paraId="263CB33B">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标注示例：常温或低温或准低温。</w:t>
            </w:r>
          </w:p>
        </w:tc>
      </w:tr>
      <w:tr w14:paraId="2456E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124" w:type="dxa"/>
            <w:vAlign w:val="center"/>
          </w:tcPr>
          <w:p w14:paraId="0A17493F">
            <w:pPr>
              <w:pStyle w:val="182"/>
            </w:pPr>
            <w:r>
              <w:rPr>
                <w:rFonts w:hint="eastAsia"/>
              </w:rPr>
              <w:t>其他信息</w:t>
            </w:r>
          </w:p>
        </w:tc>
        <w:tc>
          <w:tcPr>
            <w:tcW w:w="2454" w:type="dxa"/>
            <w:tcBorders>
              <w:tl2br w:val="nil"/>
              <w:tr2bl w:val="nil"/>
            </w:tcBorders>
            <w:vAlign w:val="center"/>
          </w:tcPr>
          <w:p w14:paraId="3A61B6B4">
            <w:pPr>
              <w:autoSpaceDE w:val="0"/>
              <w:autoSpaceDN w:val="0"/>
              <w:spacing w:before="120" w:after="120" w:line="240" w:lineRule="exact"/>
              <w:ind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（可选填）</w:t>
            </w:r>
          </w:p>
        </w:tc>
        <w:tc>
          <w:tcPr>
            <w:tcW w:w="6375" w:type="dxa"/>
            <w:tcBorders>
              <w:tl2br w:val="nil"/>
              <w:tr2bl w:val="nil"/>
            </w:tcBorders>
            <w:vAlign w:val="center"/>
          </w:tcPr>
          <w:p w14:paraId="51AAE66E">
            <w:pPr>
              <w:autoSpaceDE w:val="0"/>
              <w:autoSpaceDN w:val="0"/>
              <w:spacing w:before="120" w:after="120"/>
              <w:ind w:right="7" w:firstLine="180" w:firstLineChars="100"/>
              <w:jc w:val="left"/>
              <w:rPr>
                <w:rFonts w:hint="eastAsia" w:ascii="宋体" w:hAnsi="宋体" w:cs="宋体"/>
                <w:sz w:val="18"/>
                <w:szCs w:val="18"/>
                <w:lang w:val="zh-CN" w:bidi="zh-CN"/>
              </w:rPr>
            </w:pPr>
            <w:r>
              <w:rPr>
                <w:rFonts w:hint="eastAsia" w:ascii="宋体" w:hAnsi="宋体" w:cs="宋体"/>
                <w:sz w:val="18"/>
                <w:szCs w:val="18"/>
                <w:lang w:val="zh-CN" w:bidi="zh-CN"/>
              </w:rPr>
              <w:t>供应方或企业可根据实际情况增加反映交易混合全谷物米其他特性的信息，如：有机、绿色食品认证及地理标志产品等。</w:t>
            </w:r>
          </w:p>
        </w:tc>
      </w:tr>
    </w:tbl>
    <w:p w14:paraId="35C411C1">
      <w:pPr>
        <w:pStyle w:val="60"/>
        <w:ind w:firstLine="420"/>
      </w:pPr>
    </w:p>
    <w:p w14:paraId="3DE9FAD2">
      <w:pPr>
        <w:pStyle w:val="60"/>
        <w:ind w:firstLine="420"/>
        <w:sectPr>
          <w:pgSz w:w="11906" w:h="16838"/>
          <w:pgMar w:top="1928" w:right="1134" w:bottom="1134" w:left="1134" w:header="1418" w:footer="1134" w:gutter="284"/>
          <w:cols w:space="425" w:num="1"/>
          <w:formProt w:val="0"/>
          <w:docGrid w:linePitch="312" w:charSpace="0"/>
        </w:sectPr>
      </w:pPr>
      <w:r>
        <w:rPr>
          <w:rFonts w:hint="eastAsia"/>
        </w:rPr>
        <w:t xml:space="preserve"> </w:t>
      </w:r>
    </w:p>
    <w:p w14:paraId="54481EBB">
      <w:pPr>
        <w:pStyle w:val="202"/>
        <w:rPr>
          <w:rFonts w:hint="eastAsia"/>
          <w:vanish w:val="0"/>
        </w:rPr>
      </w:pPr>
    </w:p>
    <w:p w14:paraId="6DCFE0F8">
      <w:pPr>
        <w:pStyle w:val="203"/>
        <w:rPr>
          <w:vanish w:val="0"/>
        </w:rPr>
      </w:pPr>
    </w:p>
    <w:p w14:paraId="5AF67FA8">
      <w:pPr>
        <w:pStyle w:val="80"/>
        <w:spacing w:after="120"/>
      </w:pPr>
      <w:r>
        <w:br w:type="textWrapping"/>
      </w:r>
      <w:bookmarkEnd w:id="44"/>
      <w:r>
        <w:rPr>
          <w:rFonts w:hint="eastAsia"/>
          <w:highlight w:val="none"/>
        </w:rPr>
        <w:t>（资料性）</w:t>
      </w:r>
      <w:r>
        <w:rPr>
          <w:highlight w:val="none"/>
        </w:rPr>
        <w:br w:type="textWrapping"/>
      </w:r>
      <w:r>
        <w:rPr>
          <w:rFonts w:hint="eastAsia"/>
          <w:highlight w:val="none"/>
        </w:rPr>
        <w:t>标签标识</w:t>
      </w:r>
    </w:p>
    <w:p w14:paraId="3D8C29B9">
      <w:pPr>
        <w:pStyle w:val="60"/>
        <w:ind w:firstLine="420"/>
      </w:pPr>
      <w:r>
        <w:rPr>
          <w:rFonts w:hint="eastAsia"/>
        </w:rPr>
        <w:t>辽宁好粮油 混合全谷物米标签标识示例参见表B.1，营养成分表中能量、蛋白质、脂肪、饱和脂肪、碳水化合物、糖和钠的含量为强制内容。</w:t>
      </w:r>
    </w:p>
    <w:p w14:paraId="452961F1">
      <w:pPr>
        <w:pStyle w:val="81"/>
        <w:spacing w:before="120" w:after="120"/>
      </w:pPr>
      <w:r>
        <w:rPr>
          <w:rFonts w:hint="eastAsia"/>
        </w:rPr>
        <w:t>辽宁好粮油 混合全谷物米标签标识</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803"/>
        <w:gridCol w:w="2861"/>
        <w:gridCol w:w="1878"/>
      </w:tblGrid>
      <w:tr w14:paraId="26027D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60" w:hRule="atLeast"/>
          <w:jc w:val="center"/>
        </w:trPr>
        <w:tc>
          <w:tcPr>
            <w:tcW w:w="8542" w:type="dxa"/>
            <w:gridSpan w:val="3"/>
            <w:vAlign w:val="center"/>
          </w:tcPr>
          <w:p w14:paraId="38319560">
            <w:pPr>
              <w:rPr>
                <w:rFonts w:hint="eastAsia" w:hAnsi="宋体" w:cs="宋体"/>
                <w:szCs w:val="18"/>
                <w:lang w:val="zh-CN" w:bidi="zh-CN"/>
              </w:rPr>
            </w:pPr>
            <w:r>
              <w:rPr>
                <w:rFonts w:hint="eastAsia" w:hAnsi="宋体" w:cs="宋体"/>
                <w:szCs w:val="18"/>
                <w:lang w:val="zh-CN" w:bidi="zh-CN"/>
              </w:rPr>
              <w:t>产品名称：</w:t>
            </w:r>
            <w:r>
              <w:rPr>
                <w:rFonts w:hint="eastAsia"/>
              </w:rPr>
              <w:t>混合全谷物米</w:t>
            </w:r>
          </w:p>
          <w:p w14:paraId="78133A0C">
            <w:pPr>
              <w:rPr>
                <w:rFonts w:hint="eastAsia" w:hAnsi="宋体" w:cs="宋体"/>
                <w:szCs w:val="18"/>
                <w:lang w:val="zh-CN" w:bidi="zh-CN"/>
              </w:rPr>
            </w:pPr>
            <w:r>
              <w:rPr>
                <w:rFonts w:hint="eastAsia" w:hAnsi="宋体" w:cs="宋体"/>
                <w:szCs w:val="18"/>
                <w:lang w:val="zh-CN" w:bidi="zh-CN"/>
              </w:rPr>
              <w:t>配料名称：</w:t>
            </w:r>
          </w:p>
          <w:p w14:paraId="14DDC366">
            <w:r>
              <w:rPr>
                <w:rFonts w:hint="eastAsia" w:hAnsi="宋体"/>
                <w:szCs w:val="18"/>
              </w:rPr>
              <w:t>全谷物含量：</w:t>
            </w:r>
          </w:p>
          <w:p w14:paraId="6891D67B">
            <w:r>
              <w:rPr>
                <w:rFonts w:hint="eastAsia"/>
              </w:rPr>
              <w:t>生产日期和保质期到：</w:t>
            </w:r>
            <w:r>
              <w:rPr>
                <w:rFonts w:hint="eastAsia" w:ascii="Calibri" w:hAnsi="Calibri" w:eastAsia="宋体" w:cs="Times New Roman"/>
                <w:color w:val="auto"/>
                <w:kern w:val="2"/>
                <w:sz w:val="21"/>
                <w:szCs w:val="21"/>
                <w:lang w:val="en-US" w:eastAsia="zh-CN" w:bidi="ar"/>
              </w:rPr>
              <w:t>XXXXXXXX/</w:t>
            </w:r>
            <w:r>
              <w:rPr>
                <w:rFonts w:hint="eastAsia" w:ascii="Calibri" w:hAnsi="Calibri" w:eastAsia="宋体" w:cs="Times New Roman"/>
                <w:kern w:val="2"/>
                <w:sz w:val="21"/>
                <w:szCs w:val="21"/>
                <w:lang w:val="en-US" w:eastAsia="zh-CN" w:bidi="ar"/>
              </w:rPr>
              <w:t>XXXXXXXX</w:t>
            </w:r>
          </w:p>
        </w:tc>
      </w:tr>
      <w:tr w14:paraId="0E296C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8542" w:type="dxa"/>
            <w:gridSpan w:val="3"/>
            <w:vAlign w:val="center"/>
          </w:tcPr>
          <w:p w14:paraId="489EC647">
            <w:pPr>
              <w:pStyle w:val="182"/>
            </w:pPr>
            <w:r>
              <w:rPr>
                <w:rFonts w:hint="eastAsia"/>
              </w:rPr>
              <w:t>营养成分表（可选）</w:t>
            </w:r>
          </w:p>
        </w:tc>
      </w:tr>
      <w:tr w14:paraId="41A21B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0" w:hRule="atLeast"/>
          <w:jc w:val="center"/>
        </w:trPr>
        <w:tc>
          <w:tcPr>
            <w:tcW w:w="8542" w:type="dxa"/>
            <w:gridSpan w:val="3"/>
            <w:tcBorders>
              <w:bottom w:val="single" w:color="auto" w:sz="4" w:space="0"/>
            </w:tcBorders>
            <w:vAlign w:val="center"/>
          </w:tcPr>
          <w:p w14:paraId="6646B532">
            <w:pPr>
              <w:pStyle w:val="182"/>
            </w:pPr>
            <w:r>
              <w:rPr>
                <w:rFonts w:hint="eastAsia" w:hAnsi="宋体"/>
                <w:szCs w:val="18"/>
              </w:rPr>
              <w:t xml:space="preserve">项目                                        </w:t>
            </w:r>
            <w:r>
              <w:rPr>
                <w:rFonts w:ascii="Times New Roman" w:hAnsi="宋体"/>
                <w:szCs w:val="18"/>
              </w:rPr>
              <w:t>每</w:t>
            </w:r>
            <w:r>
              <w:rPr>
                <w:rFonts w:ascii="Times New Roman"/>
                <w:szCs w:val="18"/>
              </w:rPr>
              <w:t>100</w:t>
            </w:r>
            <w:r>
              <w:rPr>
                <w:rFonts w:ascii="Times New Roman" w:hAnsi="宋体"/>
                <w:szCs w:val="18"/>
              </w:rPr>
              <w:t>克（</w:t>
            </w:r>
            <w:r>
              <w:rPr>
                <w:rFonts w:ascii="Times New Roman"/>
                <w:szCs w:val="18"/>
              </w:rPr>
              <w:t>g</w:t>
            </w:r>
            <w:r>
              <w:rPr>
                <w:rFonts w:ascii="Times New Roman" w:hAnsi="宋体"/>
                <w:szCs w:val="18"/>
              </w:rPr>
              <w:t>）</w:t>
            </w:r>
            <w:r>
              <w:rPr>
                <w:rFonts w:hint="eastAsia" w:ascii="Times New Roman" w:hAnsi="宋体"/>
                <w:szCs w:val="18"/>
              </w:rPr>
              <w:t xml:space="preserve">           </w:t>
            </w:r>
            <w:r>
              <w:rPr>
                <w:rFonts w:hint="eastAsia" w:hAnsi="宋体"/>
                <w:szCs w:val="18"/>
              </w:rPr>
              <w:t>营养素参考值%或NRV%</w:t>
            </w:r>
          </w:p>
        </w:tc>
      </w:tr>
      <w:tr w14:paraId="5FF1C4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single" w:color="auto" w:sz="4" w:space="0"/>
              <w:left w:val="single" w:color="auto" w:sz="4" w:space="0"/>
              <w:bottom w:val="nil"/>
              <w:right w:val="nil"/>
            </w:tcBorders>
          </w:tcPr>
          <w:p w14:paraId="02F6896B">
            <w:pPr>
              <w:ind w:firstLine="180" w:firstLineChars="100"/>
              <w:jc w:val="left"/>
              <w:rPr>
                <w:rFonts w:hint="eastAsia" w:ascii="宋体" w:hAnsi="宋体"/>
                <w:sz w:val="18"/>
                <w:szCs w:val="18"/>
              </w:rPr>
            </w:pPr>
            <w:r>
              <w:rPr>
                <w:rFonts w:hint="eastAsia" w:ascii="宋体" w:hAnsi="宋体"/>
                <w:sz w:val="18"/>
                <w:szCs w:val="18"/>
              </w:rPr>
              <w:t>能量</w:t>
            </w:r>
          </w:p>
        </w:tc>
        <w:tc>
          <w:tcPr>
            <w:tcW w:w="2861" w:type="dxa"/>
            <w:tcBorders>
              <w:top w:val="single" w:color="auto" w:sz="4" w:space="0"/>
              <w:left w:val="nil"/>
              <w:bottom w:val="nil"/>
              <w:right w:val="nil"/>
            </w:tcBorders>
            <w:vAlign w:val="center"/>
          </w:tcPr>
          <w:p w14:paraId="47028099">
            <w:pPr>
              <w:pStyle w:val="182"/>
            </w:pPr>
            <w:r>
              <w:rPr>
                <w:rFonts w:hint="eastAsia"/>
              </w:rPr>
              <w:t>千焦（kJ）</w:t>
            </w:r>
          </w:p>
        </w:tc>
        <w:tc>
          <w:tcPr>
            <w:tcW w:w="1878" w:type="dxa"/>
            <w:tcBorders>
              <w:top w:val="single" w:color="auto" w:sz="4" w:space="0"/>
              <w:left w:val="nil"/>
              <w:bottom w:val="nil"/>
              <w:right w:val="single" w:color="auto" w:sz="4" w:space="0"/>
            </w:tcBorders>
            <w:vAlign w:val="center"/>
          </w:tcPr>
          <w:p w14:paraId="460C464D">
            <w:pPr>
              <w:pStyle w:val="182"/>
            </w:pPr>
            <w:r>
              <w:t>%</w:t>
            </w:r>
          </w:p>
        </w:tc>
      </w:tr>
      <w:tr w14:paraId="6779B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nil"/>
              <w:left w:val="single" w:color="auto" w:sz="4" w:space="0"/>
              <w:bottom w:val="nil"/>
              <w:right w:val="nil"/>
            </w:tcBorders>
          </w:tcPr>
          <w:p w14:paraId="5919A09B">
            <w:pPr>
              <w:ind w:firstLine="180" w:firstLineChars="100"/>
              <w:jc w:val="left"/>
              <w:rPr>
                <w:rFonts w:hint="eastAsia" w:ascii="宋体" w:hAnsi="宋体"/>
                <w:sz w:val="18"/>
                <w:szCs w:val="18"/>
              </w:rPr>
            </w:pPr>
            <w:r>
              <w:rPr>
                <w:rFonts w:hint="eastAsia" w:ascii="宋体" w:hAnsi="宋体"/>
                <w:sz w:val="18"/>
                <w:szCs w:val="18"/>
              </w:rPr>
              <w:t>蛋白质</w:t>
            </w:r>
          </w:p>
        </w:tc>
        <w:tc>
          <w:tcPr>
            <w:tcW w:w="2861" w:type="dxa"/>
            <w:tcBorders>
              <w:top w:val="nil"/>
              <w:left w:val="nil"/>
              <w:bottom w:val="nil"/>
              <w:right w:val="nil"/>
            </w:tcBorders>
            <w:vAlign w:val="center"/>
          </w:tcPr>
          <w:p w14:paraId="47334A1A">
            <w:pPr>
              <w:pStyle w:val="182"/>
            </w:pPr>
            <w:r>
              <w:rPr>
                <w:rFonts w:hint="eastAsia"/>
              </w:rPr>
              <w:t>克（g）</w:t>
            </w:r>
          </w:p>
        </w:tc>
        <w:tc>
          <w:tcPr>
            <w:tcW w:w="1878" w:type="dxa"/>
            <w:tcBorders>
              <w:top w:val="nil"/>
              <w:left w:val="nil"/>
              <w:bottom w:val="nil"/>
              <w:right w:val="single" w:color="auto" w:sz="4" w:space="0"/>
            </w:tcBorders>
            <w:vAlign w:val="center"/>
          </w:tcPr>
          <w:p w14:paraId="15AEA196">
            <w:pPr>
              <w:pStyle w:val="182"/>
            </w:pPr>
            <w:r>
              <w:t>%</w:t>
            </w:r>
          </w:p>
        </w:tc>
      </w:tr>
      <w:tr w14:paraId="78AFED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nil"/>
              <w:left w:val="single" w:color="auto" w:sz="4" w:space="0"/>
              <w:bottom w:val="nil"/>
              <w:right w:val="nil"/>
            </w:tcBorders>
          </w:tcPr>
          <w:p w14:paraId="4494BBC1">
            <w:pPr>
              <w:ind w:firstLine="180" w:firstLineChars="100"/>
              <w:jc w:val="left"/>
              <w:rPr>
                <w:rFonts w:hint="eastAsia" w:ascii="宋体" w:hAnsi="宋体"/>
                <w:sz w:val="18"/>
                <w:szCs w:val="18"/>
              </w:rPr>
            </w:pPr>
            <w:r>
              <w:rPr>
                <w:rFonts w:hint="eastAsia" w:ascii="宋体" w:hAnsi="宋体"/>
                <w:sz w:val="18"/>
                <w:szCs w:val="18"/>
              </w:rPr>
              <w:t>脂肪</w:t>
            </w:r>
          </w:p>
        </w:tc>
        <w:tc>
          <w:tcPr>
            <w:tcW w:w="2861" w:type="dxa"/>
            <w:tcBorders>
              <w:top w:val="nil"/>
              <w:left w:val="nil"/>
              <w:bottom w:val="nil"/>
              <w:right w:val="nil"/>
            </w:tcBorders>
            <w:vAlign w:val="center"/>
          </w:tcPr>
          <w:p w14:paraId="18F3AAD7">
            <w:pPr>
              <w:pStyle w:val="182"/>
            </w:pPr>
            <w:r>
              <w:rPr>
                <w:rFonts w:hint="eastAsia"/>
              </w:rPr>
              <w:t>克（g）</w:t>
            </w:r>
          </w:p>
        </w:tc>
        <w:tc>
          <w:tcPr>
            <w:tcW w:w="1878" w:type="dxa"/>
            <w:tcBorders>
              <w:top w:val="nil"/>
              <w:left w:val="nil"/>
              <w:bottom w:val="nil"/>
              <w:right w:val="single" w:color="auto" w:sz="4" w:space="0"/>
            </w:tcBorders>
            <w:vAlign w:val="center"/>
          </w:tcPr>
          <w:p w14:paraId="56EDB7C5">
            <w:pPr>
              <w:pStyle w:val="182"/>
            </w:pPr>
            <w:r>
              <w:t>%</w:t>
            </w:r>
          </w:p>
        </w:tc>
      </w:tr>
      <w:tr w14:paraId="17BF09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nil"/>
              <w:left w:val="single" w:color="auto" w:sz="4" w:space="0"/>
              <w:bottom w:val="nil"/>
              <w:right w:val="nil"/>
            </w:tcBorders>
          </w:tcPr>
          <w:p w14:paraId="102C18FF">
            <w:pPr>
              <w:ind w:firstLine="180" w:firstLineChars="100"/>
              <w:jc w:val="left"/>
              <w:rPr>
                <w:rFonts w:hint="eastAsia" w:ascii="宋体" w:hAnsi="宋体"/>
                <w:sz w:val="18"/>
                <w:szCs w:val="18"/>
              </w:rPr>
            </w:pPr>
            <w:r>
              <w:rPr>
                <w:rFonts w:hint="eastAsia" w:ascii="宋体" w:hAnsi="宋体"/>
                <w:sz w:val="18"/>
                <w:szCs w:val="18"/>
              </w:rPr>
              <w:t>---饱和脂肪</w:t>
            </w:r>
          </w:p>
        </w:tc>
        <w:tc>
          <w:tcPr>
            <w:tcW w:w="2861" w:type="dxa"/>
            <w:tcBorders>
              <w:top w:val="nil"/>
              <w:left w:val="nil"/>
              <w:bottom w:val="nil"/>
              <w:right w:val="nil"/>
            </w:tcBorders>
            <w:vAlign w:val="center"/>
          </w:tcPr>
          <w:p w14:paraId="06C7A32A">
            <w:pPr>
              <w:pStyle w:val="182"/>
            </w:pPr>
            <w:r>
              <w:rPr>
                <w:rFonts w:hint="eastAsia"/>
              </w:rPr>
              <w:t>克（g）</w:t>
            </w:r>
          </w:p>
        </w:tc>
        <w:tc>
          <w:tcPr>
            <w:tcW w:w="1878" w:type="dxa"/>
            <w:tcBorders>
              <w:top w:val="nil"/>
              <w:left w:val="nil"/>
              <w:bottom w:val="nil"/>
              <w:right w:val="single" w:color="auto" w:sz="4" w:space="0"/>
            </w:tcBorders>
            <w:vAlign w:val="center"/>
          </w:tcPr>
          <w:p w14:paraId="33CB4266">
            <w:pPr>
              <w:pStyle w:val="182"/>
            </w:pPr>
            <w:r>
              <w:t>%</w:t>
            </w:r>
          </w:p>
        </w:tc>
      </w:tr>
      <w:tr w14:paraId="193CEF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nil"/>
              <w:left w:val="single" w:color="auto" w:sz="4" w:space="0"/>
              <w:bottom w:val="nil"/>
              <w:right w:val="nil"/>
            </w:tcBorders>
          </w:tcPr>
          <w:p w14:paraId="16CD7102">
            <w:pPr>
              <w:ind w:firstLine="180" w:firstLineChars="100"/>
              <w:jc w:val="left"/>
              <w:rPr>
                <w:rFonts w:hint="eastAsia" w:ascii="宋体" w:hAnsi="宋体"/>
                <w:sz w:val="18"/>
                <w:szCs w:val="18"/>
              </w:rPr>
            </w:pPr>
            <w:r>
              <w:rPr>
                <w:rFonts w:hint="eastAsia" w:ascii="宋体" w:hAnsi="宋体"/>
                <w:sz w:val="18"/>
                <w:szCs w:val="18"/>
              </w:rPr>
              <w:t>碳水化合物</w:t>
            </w:r>
          </w:p>
        </w:tc>
        <w:tc>
          <w:tcPr>
            <w:tcW w:w="2861" w:type="dxa"/>
            <w:tcBorders>
              <w:top w:val="nil"/>
              <w:left w:val="nil"/>
              <w:bottom w:val="nil"/>
              <w:right w:val="nil"/>
            </w:tcBorders>
            <w:vAlign w:val="center"/>
          </w:tcPr>
          <w:p w14:paraId="62751A8A">
            <w:pPr>
              <w:pStyle w:val="182"/>
            </w:pPr>
            <w:r>
              <w:rPr>
                <w:rFonts w:hint="eastAsia"/>
              </w:rPr>
              <w:t>克（g）</w:t>
            </w:r>
          </w:p>
        </w:tc>
        <w:tc>
          <w:tcPr>
            <w:tcW w:w="1878" w:type="dxa"/>
            <w:tcBorders>
              <w:top w:val="nil"/>
              <w:left w:val="nil"/>
              <w:bottom w:val="nil"/>
              <w:right w:val="single" w:color="auto" w:sz="4" w:space="0"/>
            </w:tcBorders>
            <w:vAlign w:val="center"/>
          </w:tcPr>
          <w:p w14:paraId="4187FE8B">
            <w:pPr>
              <w:pStyle w:val="182"/>
            </w:pPr>
            <w:r>
              <w:t>%</w:t>
            </w:r>
          </w:p>
        </w:tc>
      </w:tr>
      <w:tr w14:paraId="446D2D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nil"/>
              <w:left w:val="single" w:color="auto" w:sz="4" w:space="0"/>
              <w:bottom w:val="nil"/>
              <w:right w:val="nil"/>
            </w:tcBorders>
          </w:tcPr>
          <w:p w14:paraId="67842CCF">
            <w:pPr>
              <w:ind w:firstLine="180" w:firstLineChars="100"/>
              <w:jc w:val="left"/>
              <w:rPr>
                <w:rFonts w:hint="eastAsia" w:ascii="宋体" w:hAnsi="宋体"/>
                <w:sz w:val="18"/>
                <w:szCs w:val="18"/>
              </w:rPr>
            </w:pPr>
            <w:r>
              <w:rPr>
                <w:rFonts w:hint="eastAsia" w:ascii="宋体" w:hAnsi="宋体"/>
                <w:sz w:val="18"/>
                <w:szCs w:val="18"/>
              </w:rPr>
              <w:t>---糖</w:t>
            </w:r>
          </w:p>
          <w:p w14:paraId="51B2E1B5">
            <w:pPr>
              <w:ind w:firstLine="180" w:firstLineChars="100"/>
              <w:jc w:val="left"/>
              <w:rPr>
                <w:rFonts w:hint="eastAsia" w:ascii="宋体" w:hAnsi="宋体"/>
                <w:sz w:val="18"/>
                <w:szCs w:val="18"/>
              </w:rPr>
            </w:pPr>
            <w:r>
              <w:rPr>
                <w:rFonts w:hint="eastAsia" w:ascii="宋体" w:hAnsi="宋体"/>
                <w:sz w:val="18"/>
                <w:szCs w:val="18"/>
              </w:rPr>
              <w:t>钠</w:t>
            </w:r>
          </w:p>
        </w:tc>
        <w:tc>
          <w:tcPr>
            <w:tcW w:w="2861" w:type="dxa"/>
            <w:tcBorders>
              <w:top w:val="nil"/>
              <w:left w:val="nil"/>
              <w:bottom w:val="nil"/>
              <w:right w:val="nil"/>
            </w:tcBorders>
            <w:vAlign w:val="center"/>
          </w:tcPr>
          <w:p w14:paraId="4927ADF9">
            <w:pPr>
              <w:pStyle w:val="182"/>
            </w:pPr>
            <w:r>
              <w:rPr>
                <w:rFonts w:hint="eastAsia"/>
              </w:rPr>
              <w:t>克（g）</w:t>
            </w:r>
          </w:p>
          <w:p w14:paraId="6FC9BDA8">
            <w:pPr>
              <w:pStyle w:val="182"/>
            </w:pPr>
          </w:p>
          <w:p w14:paraId="5689C1D5">
            <w:pPr>
              <w:pStyle w:val="182"/>
            </w:pPr>
            <w:r>
              <w:rPr>
                <w:rFonts w:hint="eastAsia"/>
              </w:rPr>
              <w:t>毫克（mg）</w:t>
            </w:r>
          </w:p>
        </w:tc>
        <w:tc>
          <w:tcPr>
            <w:tcW w:w="1878" w:type="dxa"/>
            <w:tcBorders>
              <w:top w:val="nil"/>
              <w:left w:val="nil"/>
              <w:bottom w:val="nil"/>
              <w:right w:val="single" w:color="auto" w:sz="4" w:space="0"/>
            </w:tcBorders>
            <w:vAlign w:val="center"/>
          </w:tcPr>
          <w:p w14:paraId="291B65EB">
            <w:pPr>
              <w:pStyle w:val="182"/>
            </w:pPr>
            <w:r>
              <w:t>%</w:t>
            </w:r>
          </w:p>
          <w:p w14:paraId="06BF1A11">
            <w:pPr>
              <w:pStyle w:val="182"/>
            </w:pPr>
          </w:p>
          <w:p w14:paraId="7DDDE37D">
            <w:pPr>
              <w:pStyle w:val="182"/>
            </w:pPr>
            <w:r>
              <w:rPr>
                <w:rFonts w:hint="eastAsia"/>
              </w:rPr>
              <w:t>%</w:t>
            </w:r>
          </w:p>
        </w:tc>
      </w:tr>
      <w:tr w14:paraId="220E44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3803" w:type="dxa"/>
            <w:tcBorders>
              <w:top w:val="nil"/>
              <w:left w:val="single" w:color="auto" w:sz="4" w:space="0"/>
              <w:bottom w:val="nil"/>
              <w:right w:val="nil"/>
            </w:tcBorders>
          </w:tcPr>
          <w:p w14:paraId="2B838B0F">
            <w:pPr>
              <w:ind w:firstLine="180" w:firstLineChars="100"/>
              <w:jc w:val="left"/>
              <w:rPr>
                <w:rFonts w:hint="eastAsia" w:ascii="宋体" w:hAnsi="宋体"/>
                <w:sz w:val="18"/>
                <w:szCs w:val="18"/>
              </w:rPr>
            </w:pPr>
            <w:r>
              <w:rPr>
                <w:rFonts w:hint="eastAsia" w:ascii="宋体" w:hAnsi="宋体"/>
                <w:sz w:val="18"/>
                <w:szCs w:val="18"/>
              </w:rPr>
              <w:t>膳食纤维</w:t>
            </w:r>
          </w:p>
        </w:tc>
        <w:tc>
          <w:tcPr>
            <w:tcW w:w="2861" w:type="dxa"/>
            <w:tcBorders>
              <w:top w:val="nil"/>
              <w:left w:val="nil"/>
              <w:bottom w:val="nil"/>
              <w:right w:val="nil"/>
            </w:tcBorders>
            <w:vAlign w:val="center"/>
          </w:tcPr>
          <w:p w14:paraId="707A9A02">
            <w:pPr>
              <w:pStyle w:val="182"/>
            </w:pPr>
            <w:r>
              <w:rPr>
                <w:rFonts w:hint="eastAsia"/>
              </w:rPr>
              <w:t>克（g）</w:t>
            </w:r>
          </w:p>
        </w:tc>
        <w:tc>
          <w:tcPr>
            <w:tcW w:w="1878" w:type="dxa"/>
            <w:tcBorders>
              <w:top w:val="nil"/>
              <w:left w:val="nil"/>
              <w:bottom w:val="nil"/>
              <w:right w:val="single" w:color="auto" w:sz="4" w:space="0"/>
            </w:tcBorders>
            <w:vAlign w:val="center"/>
          </w:tcPr>
          <w:p w14:paraId="2A733D95">
            <w:pPr>
              <w:pStyle w:val="182"/>
            </w:pPr>
            <w:r>
              <w:t>%</w:t>
            </w:r>
          </w:p>
        </w:tc>
      </w:tr>
      <w:tr w14:paraId="373546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nil"/>
              <w:left w:val="single" w:color="auto" w:sz="4" w:space="0"/>
              <w:bottom w:val="nil"/>
              <w:right w:val="nil"/>
            </w:tcBorders>
          </w:tcPr>
          <w:p w14:paraId="6ED20D5A">
            <w:pPr>
              <w:ind w:firstLine="180" w:firstLineChars="100"/>
              <w:jc w:val="left"/>
              <w:rPr>
                <w:rFonts w:hint="eastAsia" w:ascii="宋体" w:hAnsi="宋体"/>
                <w:sz w:val="18"/>
                <w:szCs w:val="18"/>
              </w:rPr>
            </w:pPr>
            <w:r>
              <w:rPr>
                <w:rFonts w:hint="eastAsia" w:ascii="宋体" w:hAnsi="宋体"/>
                <w:sz w:val="18"/>
                <w:szCs w:val="18"/>
              </w:rPr>
              <w:t>维生素B</w:t>
            </w:r>
            <w:r>
              <w:rPr>
                <w:rFonts w:hint="eastAsia" w:ascii="宋体" w:hAnsi="宋体"/>
                <w:sz w:val="18"/>
                <w:szCs w:val="18"/>
                <w:vertAlign w:val="subscript"/>
              </w:rPr>
              <w:t>1</w:t>
            </w:r>
          </w:p>
        </w:tc>
        <w:tc>
          <w:tcPr>
            <w:tcW w:w="2861" w:type="dxa"/>
            <w:tcBorders>
              <w:top w:val="nil"/>
              <w:left w:val="nil"/>
              <w:bottom w:val="nil"/>
              <w:right w:val="nil"/>
            </w:tcBorders>
            <w:vAlign w:val="center"/>
          </w:tcPr>
          <w:p w14:paraId="0B573467">
            <w:pPr>
              <w:pStyle w:val="182"/>
            </w:pPr>
            <w:r>
              <w:rPr>
                <w:rFonts w:hint="eastAsia"/>
              </w:rPr>
              <w:t>毫克（mg）</w:t>
            </w:r>
          </w:p>
        </w:tc>
        <w:tc>
          <w:tcPr>
            <w:tcW w:w="1878" w:type="dxa"/>
            <w:tcBorders>
              <w:top w:val="nil"/>
              <w:left w:val="nil"/>
              <w:bottom w:val="nil"/>
              <w:right w:val="single" w:color="auto" w:sz="4" w:space="0"/>
            </w:tcBorders>
            <w:vAlign w:val="center"/>
          </w:tcPr>
          <w:p w14:paraId="2B820CE4">
            <w:pPr>
              <w:pStyle w:val="182"/>
            </w:pPr>
            <w:r>
              <w:t>%</w:t>
            </w:r>
          </w:p>
        </w:tc>
      </w:tr>
      <w:tr w14:paraId="16676B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nil"/>
              <w:left w:val="single" w:color="auto" w:sz="4" w:space="0"/>
              <w:bottom w:val="nil"/>
              <w:right w:val="nil"/>
            </w:tcBorders>
          </w:tcPr>
          <w:p w14:paraId="11DF1EEE">
            <w:pPr>
              <w:ind w:firstLine="180" w:firstLineChars="100"/>
              <w:jc w:val="left"/>
              <w:rPr>
                <w:rFonts w:hint="eastAsia" w:ascii="宋体" w:hAnsi="宋体"/>
                <w:sz w:val="18"/>
                <w:szCs w:val="18"/>
              </w:rPr>
            </w:pPr>
            <w:r>
              <w:rPr>
                <w:rFonts w:hint="eastAsia" w:ascii="宋体" w:hAnsi="宋体"/>
                <w:sz w:val="18"/>
                <w:szCs w:val="18"/>
              </w:rPr>
              <w:t>叶酸</w:t>
            </w:r>
          </w:p>
        </w:tc>
        <w:tc>
          <w:tcPr>
            <w:tcW w:w="2861" w:type="dxa"/>
            <w:tcBorders>
              <w:top w:val="nil"/>
              <w:left w:val="nil"/>
              <w:bottom w:val="nil"/>
              <w:right w:val="nil"/>
            </w:tcBorders>
            <w:vAlign w:val="center"/>
          </w:tcPr>
          <w:p w14:paraId="37B2564C">
            <w:pPr>
              <w:widowControl/>
              <w:jc w:val="center"/>
            </w:pPr>
            <w:r>
              <w:rPr>
                <w:rFonts w:hint="eastAsia" w:ascii="宋体" w:hAnsi="Times New Roman"/>
                <w:kern w:val="0"/>
                <w:sz w:val="18"/>
                <w:szCs w:val="20"/>
              </w:rPr>
              <w:t>微克或微克叶酸当量(</w:t>
            </w:r>
            <w:r>
              <w:rPr>
                <w:rFonts w:ascii="宋体" w:hAnsi="Times New Roman"/>
                <w:kern w:val="0"/>
                <w:sz w:val="18"/>
                <w:szCs w:val="20"/>
              </w:rPr>
              <w:t>μg</w:t>
            </w:r>
            <w:r>
              <w:rPr>
                <w:rFonts w:hint="eastAsia" w:ascii="宋体" w:hAnsi="Times New Roman"/>
                <w:kern w:val="0"/>
                <w:sz w:val="18"/>
                <w:szCs w:val="20"/>
              </w:rPr>
              <w:t>或</w:t>
            </w:r>
            <w:r>
              <w:rPr>
                <w:rFonts w:ascii="宋体" w:hAnsi="Times New Roman"/>
                <w:kern w:val="0"/>
                <w:sz w:val="18"/>
                <w:szCs w:val="20"/>
              </w:rPr>
              <w:t>μgDFE)</w:t>
            </w:r>
          </w:p>
        </w:tc>
        <w:tc>
          <w:tcPr>
            <w:tcW w:w="1878" w:type="dxa"/>
            <w:tcBorders>
              <w:top w:val="nil"/>
              <w:left w:val="nil"/>
              <w:bottom w:val="nil"/>
              <w:right w:val="single" w:color="auto" w:sz="4" w:space="0"/>
            </w:tcBorders>
            <w:vAlign w:val="center"/>
          </w:tcPr>
          <w:p w14:paraId="4FA5602D">
            <w:pPr>
              <w:pStyle w:val="182"/>
            </w:pPr>
            <w:r>
              <w:t>%</w:t>
            </w:r>
          </w:p>
        </w:tc>
      </w:tr>
      <w:tr w14:paraId="49FA90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nil"/>
              <w:left w:val="single" w:color="auto" w:sz="4" w:space="0"/>
              <w:bottom w:val="single" w:color="auto" w:sz="4" w:space="0"/>
              <w:right w:val="nil"/>
            </w:tcBorders>
          </w:tcPr>
          <w:p w14:paraId="1894D0F8">
            <w:pPr>
              <w:ind w:firstLine="180" w:firstLineChars="100"/>
              <w:jc w:val="left"/>
              <w:rPr>
                <w:rFonts w:hint="eastAsia" w:ascii="宋体" w:hAnsi="宋体"/>
                <w:sz w:val="18"/>
                <w:szCs w:val="18"/>
              </w:rPr>
            </w:pPr>
            <w:r>
              <w:rPr>
                <w:rFonts w:ascii="宋体" w:hAnsi="宋体"/>
                <w:sz w:val="18"/>
                <w:szCs w:val="18"/>
              </w:rPr>
              <w:t>……</w:t>
            </w:r>
          </w:p>
        </w:tc>
        <w:tc>
          <w:tcPr>
            <w:tcW w:w="2861" w:type="dxa"/>
            <w:tcBorders>
              <w:top w:val="nil"/>
              <w:left w:val="nil"/>
              <w:bottom w:val="single" w:color="auto" w:sz="4" w:space="0"/>
              <w:right w:val="nil"/>
            </w:tcBorders>
            <w:vAlign w:val="center"/>
          </w:tcPr>
          <w:p w14:paraId="2021730B">
            <w:pPr>
              <w:pStyle w:val="182"/>
            </w:pPr>
          </w:p>
        </w:tc>
        <w:tc>
          <w:tcPr>
            <w:tcW w:w="1878" w:type="dxa"/>
            <w:tcBorders>
              <w:top w:val="nil"/>
              <w:left w:val="nil"/>
              <w:bottom w:val="single" w:color="auto" w:sz="4" w:space="0"/>
              <w:right w:val="single" w:color="auto" w:sz="4" w:space="0"/>
            </w:tcBorders>
            <w:vAlign w:val="center"/>
          </w:tcPr>
          <w:p w14:paraId="3E472245">
            <w:pPr>
              <w:pStyle w:val="182"/>
            </w:pPr>
          </w:p>
        </w:tc>
      </w:tr>
      <w:tr w14:paraId="55E226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803" w:type="dxa"/>
            <w:tcBorders>
              <w:top w:val="single" w:color="auto" w:sz="4" w:space="0"/>
              <w:left w:val="single" w:color="auto" w:sz="4" w:space="0"/>
              <w:bottom w:val="single" w:color="auto" w:sz="4" w:space="0"/>
              <w:right w:val="nil"/>
            </w:tcBorders>
          </w:tcPr>
          <w:p w14:paraId="2C874E41">
            <w:pPr>
              <w:widowControl/>
              <w:ind w:firstLine="180" w:firstLineChars="100"/>
              <w:jc w:val="left"/>
              <w:rPr>
                <w:rFonts w:hint="eastAsia" w:ascii="宋体" w:hAnsi="宋体"/>
                <w:sz w:val="18"/>
                <w:szCs w:val="18"/>
              </w:rPr>
            </w:pPr>
            <w:r>
              <w:rPr>
                <w:rFonts w:hint="eastAsia" w:ascii="宋体" w:hAnsi="宋体" w:cs="宋体"/>
                <w:color w:val="000000"/>
                <w:kern w:val="0"/>
                <w:sz w:val="18"/>
                <w:szCs w:val="18"/>
                <w:lang w:bidi="ar"/>
              </w:rPr>
              <w:t>儿童青少年应避免过量摄入盐油糖。</w:t>
            </w:r>
          </w:p>
        </w:tc>
        <w:tc>
          <w:tcPr>
            <w:tcW w:w="2861" w:type="dxa"/>
            <w:tcBorders>
              <w:top w:val="single" w:color="auto" w:sz="4" w:space="0"/>
              <w:left w:val="nil"/>
              <w:bottom w:val="single" w:color="auto" w:sz="4" w:space="0"/>
              <w:right w:val="nil"/>
            </w:tcBorders>
            <w:vAlign w:val="center"/>
          </w:tcPr>
          <w:p w14:paraId="5DD1EAD4">
            <w:pPr>
              <w:pStyle w:val="182"/>
            </w:pPr>
          </w:p>
        </w:tc>
        <w:tc>
          <w:tcPr>
            <w:tcW w:w="1878" w:type="dxa"/>
            <w:tcBorders>
              <w:top w:val="single" w:color="auto" w:sz="4" w:space="0"/>
              <w:left w:val="nil"/>
              <w:bottom w:val="single" w:color="auto" w:sz="4" w:space="0"/>
              <w:right w:val="single" w:color="auto" w:sz="4" w:space="0"/>
            </w:tcBorders>
            <w:vAlign w:val="center"/>
          </w:tcPr>
          <w:p w14:paraId="592AB156">
            <w:pPr>
              <w:pStyle w:val="182"/>
            </w:pPr>
          </w:p>
        </w:tc>
      </w:tr>
    </w:tbl>
    <w:p w14:paraId="5FF687C4">
      <w:pPr>
        <w:pStyle w:val="60"/>
        <w:ind w:firstLine="420"/>
      </w:pPr>
    </w:p>
    <w:p w14:paraId="0FC3647D">
      <w:pPr>
        <w:pStyle w:val="60"/>
        <w:ind w:firstLine="420"/>
      </w:pPr>
    </w:p>
    <w:p w14:paraId="55F2D3AB">
      <w:pPr>
        <w:pStyle w:val="60"/>
        <w:ind w:firstLine="420"/>
      </w:pPr>
    </w:p>
    <w:p w14:paraId="5FAF332B">
      <w:pPr>
        <w:pStyle w:val="60"/>
        <w:ind w:firstLine="420"/>
      </w:pPr>
    </w:p>
    <w:p w14:paraId="540B8F74">
      <w:pPr>
        <w:pStyle w:val="60"/>
        <w:ind w:firstLine="0" w:firstLineChars="0"/>
        <w:jc w:val="center"/>
      </w:pPr>
    </w:p>
    <w:p w14:paraId="5A8B31AD">
      <w:pPr>
        <w:pStyle w:val="60"/>
        <w:ind w:firstLine="0" w:firstLineChars="0"/>
        <w:jc w:val="center"/>
      </w:pPr>
      <w:bookmarkStart w:id="45" w:name="BookMark8"/>
      <w:r>
        <w:rPr>
          <w:rFonts w:hint="eastAsia"/>
        </w:rPr>
        <w:drawing>
          <wp:inline distT="0" distB="0" distL="0" distR="0">
            <wp:extent cx="1485900" cy="317500"/>
            <wp:effectExtent l="0" t="0" r="0" b="6350"/>
            <wp:docPr id="2065487024" name="图片 1"/>
            <wp:cNvGraphicFramePr/>
            <a:graphic xmlns:a="http://schemas.openxmlformats.org/drawingml/2006/main">
              <a:graphicData uri="http://schemas.openxmlformats.org/drawingml/2006/picture">
                <pic:pic xmlns:pic="http://schemas.openxmlformats.org/drawingml/2006/picture">
                  <pic:nvPicPr>
                    <pic:cNvPr id="2065487024" name="图片 1"/>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5"/>
    </w:p>
    <w:sectPr>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FZShuSong-Z01">
    <w:panose1 w:val="02000000000000000000"/>
    <w:charset w:val="86"/>
    <w:family w:val="auto"/>
    <w:pitch w:val="default"/>
    <w:sig w:usb0="00000001" w:usb1="08000000" w:usb2="00000000" w:usb3="00000000" w:csb0="00040000" w:csb1="00000000"/>
  </w:font>
  <w:font w:name="E-BZ">
    <w:altName w:val="Calibri"/>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Book Antiqua">
    <w:panose1 w:val="02040602050305030304"/>
    <w:charset w:val="00"/>
    <w:family w:val="auto"/>
    <w:pitch w:val="default"/>
    <w:sig w:usb0="00000287" w:usb1="00000000" w:usb2="00000000" w:usb3="00000000" w:csb0="2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86E0D">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241E2">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2085F">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B0597">
    <w:pPr>
      <w:pStyle w:val="56"/>
    </w:pPr>
    <w:r>
      <w:fldChar w:fldCharType="begin"/>
    </w:r>
    <w:r>
      <w:instrText xml:space="preserve">PAGE   \* MERGEFORMAT</w:instrText>
    </w:r>
    <w:r>
      <w:fldChar w:fldCharType="separate"/>
    </w:r>
    <w:r>
      <w:rPr>
        <w:lang w:val="zh-CN"/>
      </w:rPr>
      <w:t>I</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12702">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8D2B7">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8B46B">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12322">
    <w:pPr>
      <w:pStyle w:val="65"/>
      <w:rPr>
        <w:rFonts w:hint="eastAsia"/>
      </w:rPr>
    </w:pPr>
    <w:r>
      <w:fldChar w:fldCharType="begin"/>
    </w:r>
    <w:r>
      <w:instrText xml:space="preserve"> STYLEREF  标准文件_文件编号  \* MERGEFORMAT </w:instrText>
    </w:r>
    <w:r>
      <w:fldChar w:fldCharType="separate"/>
    </w:r>
    <w:r>
      <w:t>T/LNSLX 0XX—2026</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E892E">
    <w:pPr>
      <w:pStyle w:val="19"/>
      <w:jc w:val="right"/>
    </w:pPr>
    <w:r>
      <w:fldChar w:fldCharType="begin"/>
    </w:r>
    <w:r>
      <w:instrText xml:space="preserve"> STYLEREF  标准文件_文件编号  \* MERGEFORMAT </w:instrText>
    </w:r>
    <w:r>
      <w:fldChar w:fldCharType="separate"/>
    </w:r>
    <w:r>
      <w:t>T/LNSLX 0XX—2026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392627AA"/>
    <w:multiLevelType w:val="multilevel"/>
    <w:tmpl w:val="392627AA"/>
    <w:lvl w:ilvl="0" w:tentative="0">
      <w:start w:val="5"/>
      <w:numFmt w:val="decimal"/>
      <w:lvlText w:val="%1"/>
      <w:lvlJc w:val="left"/>
      <w:pPr>
        <w:ind w:left="360" w:hanging="360"/>
      </w:pPr>
      <w:rPr>
        <w:rFonts w:hint="default"/>
      </w:rPr>
    </w:lvl>
    <w:lvl w:ilvl="1" w:tentative="0">
      <w:start w:val="3"/>
      <w:numFmt w:val="decimal"/>
      <w:pStyle w:val="247"/>
      <w:lvlText w:val="%1.%2"/>
      <w:lvlJc w:val="left"/>
      <w:pPr>
        <w:ind w:left="360" w:hanging="360"/>
      </w:pPr>
      <w:rPr>
        <w:rFonts w:hint="default" w:ascii="黑体" w:hAnsi="黑体" w:eastAsia="黑体"/>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13">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69"/>
      <w:suff w:val="nothing"/>
      <w:lvlText w:val="%1%2.%3.%4　"/>
      <w:lvlJc w:val="left"/>
      <w:pPr>
        <w:ind w:left="568"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1"/>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forms"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7DF"/>
    <w:rsid w:val="0000040A"/>
    <w:rsid w:val="00000A94"/>
    <w:rsid w:val="00001972"/>
    <w:rsid w:val="00001D9A"/>
    <w:rsid w:val="00007B3A"/>
    <w:rsid w:val="000107E0"/>
    <w:rsid w:val="00011FDE"/>
    <w:rsid w:val="00012FFD"/>
    <w:rsid w:val="00014162"/>
    <w:rsid w:val="00014340"/>
    <w:rsid w:val="00016A9C"/>
    <w:rsid w:val="00020F8F"/>
    <w:rsid w:val="00022184"/>
    <w:rsid w:val="00022762"/>
    <w:rsid w:val="000238E0"/>
    <w:rsid w:val="000249DB"/>
    <w:rsid w:val="0002595E"/>
    <w:rsid w:val="000303C3"/>
    <w:rsid w:val="00030F3A"/>
    <w:rsid w:val="000313A8"/>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3F3F"/>
    <w:rsid w:val="00067F1E"/>
    <w:rsid w:val="00071CC0"/>
    <w:rsid w:val="00071CFC"/>
    <w:rsid w:val="00073C8C"/>
    <w:rsid w:val="00077B64"/>
    <w:rsid w:val="00080A1C"/>
    <w:rsid w:val="00081D32"/>
    <w:rsid w:val="00082317"/>
    <w:rsid w:val="00083C2C"/>
    <w:rsid w:val="00083D2C"/>
    <w:rsid w:val="00086AA1"/>
    <w:rsid w:val="00087A77"/>
    <w:rsid w:val="00090CA6"/>
    <w:rsid w:val="0009200C"/>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7F7"/>
    <w:rsid w:val="000B3CDA"/>
    <w:rsid w:val="000B438F"/>
    <w:rsid w:val="000B6A0B"/>
    <w:rsid w:val="000C0F6C"/>
    <w:rsid w:val="000C11DB"/>
    <w:rsid w:val="000C1492"/>
    <w:rsid w:val="000C2FBD"/>
    <w:rsid w:val="000C4B41"/>
    <w:rsid w:val="000C57D6"/>
    <w:rsid w:val="000C6362"/>
    <w:rsid w:val="000C7666"/>
    <w:rsid w:val="000D0A9C"/>
    <w:rsid w:val="000D1427"/>
    <w:rsid w:val="000D1795"/>
    <w:rsid w:val="000D329A"/>
    <w:rsid w:val="000D4B9C"/>
    <w:rsid w:val="000D4EB6"/>
    <w:rsid w:val="000D753B"/>
    <w:rsid w:val="000E4C9E"/>
    <w:rsid w:val="000E6FD7"/>
    <w:rsid w:val="000E7144"/>
    <w:rsid w:val="000F06E1"/>
    <w:rsid w:val="000F0E3C"/>
    <w:rsid w:val="000F19D5"/>
    <w:rsid w:val="000F2A96"/>
    <w:rsid w:val="000F4050"/>
    <w:rsid w:val="000F4AEA"/>
    <w:rsid w:val="000F67E9"/>
    <w:rsid w:val="00104926"/>
    <w:rsid w:val="00107921"/>
    <w:rsid w:val="00111358"/>
    <w:rsid w:val="00113B1E"/>
    <w:rsid w:val="0011711C"/>
    <w:rsid w:val="00121132"/>
    <w:rsid w:val="00124E4F"/>
    <w:rsid w:val="001260B7"/>
    <w:rsid w:val="001265CB"/>
    <w:rsid w:val="0013069B"/>
    <w:rsid w:val="0013078C"/>
    <w:rsid w:val="00130A0A"/>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4582"/>
    <w:rsid w:val="001852C9"/>
    <w:rsid w:val="00187A0B"/>
    <w:rsid w:val="00190087"/>
    <w:rsid w:val="001913C4"/>
    <w:rsid w:val="001917CE"/>
    <w:rsid w:val="0019348F"/>
    <w:rsid w:val="00193A07"/>
    <w:rsid w:val="00193FD9"/>
    <w:rsid w:val="00194C95"/>
    <w:rsid w:val="00195C34"/>
    <w:rsid w:val="00196EF5"/>
    <w:rsid w:val="001A183E"/>
    <w:rsid w:val="001A1A53"/>
    <w:rsid w:val="001A234A"/>
    <w:rsid w:val="001A4CF3"/>
    <w:rsid w:val="001A6696"/>
    <w:rsid w:val="001B06E8"/>
    <w:rsid w:val="001B71D0"/>
    <w:rsid w:val="001B71EE"/>
    <w:rsid w:val="001C04A8"/>
    <w:rsid w:val="001C2C03"/>
    <w:rsid w:val="001C42F7"/>
    <w:rsid w:val="001C49E5"/>
    <w:rsid w:val="001C6784"/>
    <w:rsid w:val="001C680C"/>
    <w:rsid w:val="001C7F45"/>
    <w:rsid w:val="001C7FEA"/>
    <w:rsid w:val="001D0384"/>
    <w:rsid w:val="001D0499"/>
    <w:rsid w:val="001D0BBE"/>
    <w:rsid w:val="001D0ED4"/>
    <w:rsid w:val="001D1337"/>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3CFE"/>
    <w:rsid w:val="002040E6"/>
    <w:rsid w:val="0020527B"/>
    <w:rsid w:val="00205F2C"/>
    <w:rsid w:val="00207688"/>
    <w:rsid w:val="00210B15"/>
    <w:rsid w:val="002142EA"/>
    <w:rsid w:val="00215ADD"/>
    <w:rsid w:val="002204BB"/>
    <w:rsid w:val="00221B79"/>
    <w:rsid w:val="00221C6B"/>
    <w:rsid w:val="00224997"/>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45EF"/>
    <w:rsid w:val="00285170"/>
    <w:rsid w:val="00285361"/>
    <w:rsid w:val="00292D60"/>
    <w:rsid w:val="00293B30"/>
    <w:rsid w:val="00294D34"/>
    <w:rsid w:val="00294E3B"/>
    <w:rsid w:val="00295B9A"/>
    <w:rsid w:val="00296193"/>
    <w:rsid w:val="00296C66"/>
    <w:rsid w:val="00296EBE"/>
    <w:rsid w:val="00296F89"/>
    <w:rsid w:val="002974E3"/>
    <w:rsid w:val="002A084B"/>
    <w:rsid w:val="002A1260"/>
    <w:rsid w:val="002A1589"/>
    <w:rsid w:val="002A1608"/>
    <w:rsid w:val="002A25DC"/>
    <w:rsid w:val="002A3AAB"/>
    <w:rsid w:val="002A4CEA"/>
    <w:rsid w:val="002A5977"/>
    <w:rsid w:val="002A5A13"/>
    <w:rsid w:val="002A67F3"/>
    <w:rsid w:val="002A757F"/>
    <w:rsid w:val="002A7F44"/>
    <w:rsid w:val="002B0C40"/>
    <w:rsid w:val="002B1966"/>
    <w:rsid w:val="002B4331"/>
    <w:rsid w:val="002B4508"/>
    <w:rsid w:val="002B5779"/>
    <w:rsid w:val="002B5ECD"/>
    <w:rsid w:val="002B6E4B"/>
    <w:rsid w:val="002B7332"/>
    <w:rsid w:val="002B7F51"/>
    <w:rsid w:val="002C09E7"/>
    <w:rsid w:val="002C1E06"/>
    <w:rsid w:val="002C3A88"/>
    <w:rsid w:val="002C3F07"/>
    <w:rsid w:val="002C5278"/>
    <w:rsid w:val="002C7EBB"/>
    <w:rsid w:val="002D06C1"/>
    <w:rsid w:val="002D42B5"/>
    <w:rsid w:val="002D4F1A"/>
    <w:rsid w:val="002D6EC6"/>
    <w:rsid w:val="002D79AC"/>
    <w:rsid w:val="002E039D"/>
    <w:rsid w:val="002E4D5A"/>
    <w:rsid w:val="002E6326"/>
    <w:rsid w:val="002E7BDC"/>
    <w:rsid w:val="002F30E0"/>
    <w:rsid w:val="002F35E4"/>
    <w:rsid w:val="002F3730"/>
    <w:rsid w:val="002F38E1"/>
    <w:rsid w:val="002F3A8E"/>
    <w:rsid w:val="002F3DC5"/>
    <w:rsid w:val="002F7AF6"/>
    <w:rsid w:val="00300E63"/>
    <w:rsid w:val="00302F5F"/>
    <w:rsid w:val="0030441D"/>
    <w:rsid w:val="00306063"/>
    <w:rsid w:val="00313B85"/>
    <w:rsid w:val="00317988"/>
    <w:rsid w:val="003221B4"/>
    <w:rsid w:val="0032258D"/>
    <w:rsid w:val="00322E62"/>
    <w:rsid w:val="00324D13"/>
    <w:rsid w:val="00324EDD"/>
    <w:rsid w:val="003331E4"/>
    <w:rsid w:val="00336192"/>
    <w:rsid w:val="00336C64"/>
    <w:rsid w:val="00337162"/>
    <w:rsid w:val="0034194F"/>
    <w:rsid w:val="003422A0"/>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8BB"/>
    <w:rsid w:val="00370D58"/>
    <w:rsid w:val="00371316"/>
    <w:rsid w:val="0037617B"/>
    <w:rsid w:val="00376713"/>
    <w:rsid w:val="00381815"/>
    <w:rsid w:val="003819AF"/>
    <w:rsid w:val="003820E9"/>
    <w:rsid w:val="00382DE7"/>
    <w:rsid w:val="00384FFC"/>
    <w:rsid w:val="003872FC"/>
    <w:rsid w:val="003877F9"/>
    <w:rsid w:val="00387ADC"/>
    <w:rsid w:val="00390020"/>
    <w:rsid w:val="003903D6"/>
    <w:rsid w:val="00390EE6"/>
    <w:rsid w:val="0039118F"/>
    <w:rsid w:val="00392AD7"/>
    <w:rsid w:val="003938D9"/>
    <w:rsid w:val="00393FE4"/>
    <w:rsid w:val="00394376"/>
    <w:rsid w:val="003943FF"/>
    <w:rsid w:val="003974EB"/>
    <w:rsid w:val="00397CC5"/>
    <w:rsid w:val="003A11D1"/>
    <w:rsid w:val="003A1582"/>
    <w:rsid w:val="003A2D0C"/>
    <w:rsid w:val="003A3D9C"/>
    <w:rsid w:val="003A4077"/>
    <w:rsid w:val="003A4AA7"/>
    <w:rsid w:val="003A5F2F"/>
    <w:rsid w:val="003A7523"/>
    <w:rsid w:val="003B09AD"/>
    <w:rsid w:val="003B1F18"/>
    <w:rsid w:val="003B5BF0"/>
    <w:rsid w:val="003B60BF"/>
    <w:rsid w:val="003B6BE3"/>
    <w:rsid w:val="003C010C"/>
    <w:rsid w:val="003C0A6C"/>
    <w:rsid w:val="003C14F8"/>
    <w:rsid w:val="003C5A43"/>
    <w:rsid w:val="003C64D9"/>
    <w:rsid w:val="003C659E"/>
    <w:rsid w:val="003D0519"/>
    <w:rsid w:val="003D0FF6"/>
    <w:rsid w:val="003D262C"/>
    <w:rsid w:val="003D6D61"/>
    <w:rsid w:val="003E019F"/>
    <w:rsid w:val="003E091D"/>
    <w:rsid w:val="003E0FDC"/>
    <w:rsid w:val="003E1C53"/>
    <w:rsid w:val="003E2A69"/>
    <w:rsid w:val="003E2D49"/>
    <w:rsid w:val="003E2FD4"/>
    <w:rsid w:val="003E49F6"/>
    <w:rsid w:val="003E660F"/>
    <w:rsid w:val="003F0841"/>
    <w:rsid w:val="003F23D3"/>
    <w:rsid w:val="003F3F08"/>
    <w:rsid w:val="003F49F1"/>
    <w:rsid w:val="003F6272"/>
    <w:rsid w:val="00400E72"/>
    <w:rsid w:val="00401400"/>
    <w:rsid w:val="00403413"/>
    <w:rsid w:val="00404869"/>
    <w:rsid w:val="00405884"/>
    <w:rsid w:val="004067F8"/>
    <w:rsid w:val="00407D39"/>
    <w:rsid w:val="0041477A"/>
    <w:rsid w:val="004167A3"/>
    <w:rsid w:val="00427B5E"/>
    <w:rsid w:val="00432DAA"/>
    <w:rsid w:val="00434305"/>
    <w:rsid w:val="00435DF7"/>
    <w:rsid w:val="0043741A"/>
    <w:rsid w:val="0044083F"/>
    <w:rsid w:val="00441AE7"/>
    <w:rsid w:val="00445574"/>
    <w:rsid w:val="004467FB"/>
    <w:rsid w:val="00452D6B"/>
    <w:rsid w:val="00454484"/>
    <w:rsid w:val="0045517B"/>
    <w:rsid w:val="0045731E"/>
    <w:rsid w:val="00463B77"/>
    <w:rsid w:val="00463C7B"/>
    <w:rsid w:val="004644A6"/>
    <w:rsid w:val="004659BD"/>
    <w:rsid w:val="00470028"/>
    <w:rsid w:val="00470775"/>
    <w:rsid w:val="004746B1"/>
    <w:rsid w:val="0047583F"/>
    <w:rsid w:val="00475DE8"/>
    <w:rsid w:val="00480AF2"/>
    <w:rsid w:val="00481689"/>
    <w:rsid w:val="00481C44"/>
    <w:rsid w:val="00484936"/>
    <w:rsid w:val="00485C89"/>
    <w:rsid w:val="00486BE3"/>
    <w:rsid w:val="004870C9"/>
    <w:rsid w:val="004905E4"/>
    <w:rsid w:val="00490A89"/>
    <w:rsid w:val="00490AB4"/>
    <w:rsid w:val="00492F02"/>
    <w:rsid w:val="004939AE"/>
    <w:rsid w:val="004A12DF"/>
    <w:rsid w:val="004A1BA8"/>
    <w:rsid w:val="004A4B57"/>
    <w:rsid w:val="004A63FA"/>
    <w:rsid w:val="004A6A3D"/>
    <w:rsid w:val="004B0272"/>
    <w:rsid w:val="004B1004"/>
    <w:rsid w:val="004B2701"/>
    <w:rsid w:val="004B2E1B"/>
    <w:rsid w:val="004B3AA8"/>
    <w:rsid w:val="004B3E93"/>
    <w:rsid w:val="004B56F9"/>
    <w:rsid w:val="004C1FBC"/>
    <w:rsid w:val="004C25A2"/>
    <w:rsid w:val="004C3F1D"/>
    <w:rsid w:val="004C458D"/>
    <w:rsid w:val="004C7556"/>
    <w:rsid w:val="004C7E8B"/>
    <w:rsid w:val="004C7E9D"/>
    <w:rsid w:val="004C7F67"/>
    <w:rsid w:val="004D076D"/>
    <w:rsid w:val="004D0EF1"/>
    <w:rsid w:val="004D2253"/>
    <w:rsid w:val="004D4406"/>
    <w:rsid w:val="004D6FBE"/>
    <w:rsid w:val="004D7C42"/>
    <w:rsid w:val="004D7E57"/>
    <w:rsid w:val="004E0465"/>
    <w:rsid w:val="004E127B"/>
    <w:rsid w:val="004E1AED"/>
    <w:rsid w:val="004E1C0A"/>
    <w:rsid w:val="004E30C5"/>
    <w:rsid w:val="004E4AA5"/>
    <w:rsid w:val="004E4AEE"/>
    <w:rsid w:val="004E59E3"/>
    <w:rsid w:val="004E6328"/>
    <w:rsid w:val="004E67C0"/>
    <w:rsid w:val="004F1D3A"/>
    <w:rsid w:val="004F391A"/>
    <w:rsid w:val="004F3CFB"/>
    <w:rsid w:val="004F6456"/>
    <w:rsid w:val="004F696E"/>
    <w:rsid w:val="004F6C71"/>
    <w:rsid w:val="00500B29"/>
    <w:rsid w:val="00500F64"/>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25F3E"/>
    <w:rsid w:val="00530E9A"/>
    <w:rsid w:val="005319D8"/>
    <w:rsid w:val="00533D04"/>
    <w:rsid w:val="00534804"/>
    <w:rsid w:val="00534BDF"/>
    <w:rsid w:val="005354EA"/>
    <w:rsid w:val="0053585F"/>
    <w:rsid w:val="00535EC4"/>
    <w:rsid w:val="00535ED9"/>
    <w:rsid w:val="0053692B"/>
    <w:rsid w:val="00541853"/>
    <w:rsid w:val="00543BDA"/>
    <w:rsid w:val="005441CC"/>
    <w:rsid w:val="005442AD"/>
    <w:rsid w:val="005479DA"/>
    <w:rsid w:val="00547BCC"/>
    <w:rsid w:val="0055013B"/>
    <w:rsid w:val="00551F6F"/>
    <w:rsid w:val="005532F3"/>
    <w:rsid w:val="00555044"/>
    <w:rsid w:val="00561475"/>
    <w:rsid w:val="00562308"/>
    <w:rsid w:val="0056487B"/>
    <w:rsid w:val="00564FB9"/>
    <w:rsid w:val="00566233"/>
    <w:rsid w:val="00573D9E"/>
    <w:rsid w:val="00575142"/>
    <w:rsid w:val="005801E3"/>
    <w:rsid w:val="00581802"/>
    <w:rsid w:val="005836A8"/>
    <w:rsid w:val="0058409C"/>
    <w:rsid w:val="00584262"/>
    <w:rsid w:val="00584965"/>
    <w:rsid w:val="00585E8B"/>
    <w:rsid w:val="00586630"/>
    <w:rsid w:val="00587ADD"/>
    <w:rsid w:val="00593A49"/>
    <w:rsid w:val="00596160"/>
    <w:rsid w:val="005966E2"/>
    <w:rsid w:val="00597007"/>
    <w:rsid w:val="005A0966"/>
    <w:rsid w:val="005A11B7"/>
    <w:rsid w:val="005A260B"/>
    <w:rsid w:val="005A29B8"/>
    <w:rsid w:val="005A328B"/>
    <w:rsid w:val="005A4A1B"/>
    <w:rsid w:val="005A7830"/>
    <w:rsid w:val="005A7C28"/>
    <w:rsid w:val="005A7FCE"/>
    <w:rsid w:val="005B0F3F"/>
    <w:rsid w:val="005B191C"/>
    <w:rsid w:val="005B22CF"/>
    <w:rsid w:val="005B4903"/>
    <w:rsid w:val="005B51CE"/>
    <w:rsid w:val="005B5885"/>
    <w:rsid w:val="005B5CD7"/>
    <w:rsid w:val="005B6CF6"/>
    <w:rsid w:val="005B7422"/>
    <w:rsid w:val="005C0C7D"/>
    <w:rsid w:val="005C29B8"/>
    <w:rsid w:val="005C5F21"/>
    <w:rsid w:val="005C7156"/>
    <w:rsid w:val="005D0C75"/>
    <w:rsid w:val="005D1BB7"/>
    <w:rsid w:val="005D3AAE"/>
    <w:rsid w:val="005D3C3C"/>
    <w:rsid w:val="005D4171"/>
    <w:rsid w:val="005D46D1"/>
    <w:rsid w:val="005D4C6C"/>
    <w:rsid w:val="005D6A95"/>
    <w:rsid w:val="005D6B2C"/>
    <w:rsid w:val="005D6D9C"/>
    <w:rsid w:val="005E2335"/>
    <w:rsid w:val="005E34CA"/>
    <w:rsid w:val="005E3C18"/>
    <w:rsid w:val="005E4250"/>
    <w:rsid w:val="005E6812"/>
    <w:rsid w:val="005E7881"/>
    <w:rsid w:val="005E78E0"/>
    <w:rsid w:val="005F0D9C"/>
    <w:rsid w:val="005F0E36"/>
    <w:rsid w:val="005F284E"/>
    <w:rsid w:val="006015CE"/>
    <w:rsid w:val="00604784"/>
    <w:rsid w:val="006059C3"/>
    <w:rsid w:val="00606419"/>
    <w:rsid w:val="00606BEA"/>
    <w:rsid w:val="00607517"/>
    <w:rsid w:val="00607D29"/>
    <w:rsid w:val="0061187A"/>
    <w:rsid w:val="00612952"/>
    <w:rsid w:val="00614CC1"/>
    <w:rsid w:val="00615A9D"/>
    <w:rsid w:val="00617387"/>
    <w:rsid w:val="006205D6"/>
    <w:rsid w:val="006252D8"/>
    <w:rsid w:val="006259BC"/>
    <w:rsid w:val="0062636B"/>
    <w:rsid w:val="00627C35"/>
    <w:rsid w:val="00632182"/>
    <w:rsid w:val="00632AE0"/>
    <w:rsid w:val="00633C17"/>
    <w:rsid w:val="00634D9E"/>
    <w:rsid w:val="006357DF"/>
    <w:rsid w:val="00636E3E"/>
    <w:rsid w:val="006379F7"/>
    <w:rsid w:val="00637E4D"/>
    <w:rsid w:val="00640620"/>
    <w:rsid w:val="00641A1F"/>
    <w:rsid w:val="00645904"/>
    <w:rsid w:val="00651633"/>
    <w:rsid w:val="00651ACB"/>
    <w:rsid w:val="00651C47"/>
    <w:rsid w:val="00652AB2"/>
    <w:rsid w:val="00653FED"/>
    <w:rsid w:val="00654EC0"/>
    <w:rsid w:val="0065525B"/>
    <w:rsid w:val="00655D4F"/>
    <w:rsid w:val="00656D29"/>
    <w:rsid w:val="00656ECC"/>
    <w:rsid w:val="006640E5"/>
    <w:rsid w:val="006646F1"/>
    <w:rsid w:val="00664929"/>
    <w:rsid w:val="00664F62"/>
    <w:rsid w:val="006655E1"/>
    <w:rsid w:val="0067152C"/>
    <w:rsid w:val="00672060"/>
    <w:rsid w:val="00672BFD"/>
    <w:rsid w:val="00676F15"/>
    <w:rsid w:val="006770F4"/>
    <w:rsid w:val="00677A84"/>
    <w:rsid w:val="0068026D"/>
    <w:rsid w:val="00680A27"/>
    <w:rsid w:val="006816A4"/>
    <w:rsid w:val="0068189F"/>
    <w:rsid w:val="006819B8"/>
    <w:rsid w:val="006840A6"/>
    <w:rsid w:val="006850CD"/>
    <w:rsid w:val="00685AAB"/>
    <w:rsid w:val="00693835"/>
    <w:rsid w:val="00693962"/>
    <w:rsid w:val="006A07AA"/>
    <w:rsid w:val="006A25E5"/>
    <w:rsid w:val="006A2B46"/>
    <w:rsid w:val="006A336D"/>
    <w:rsid w:val="006A34BB"/>
    <w:rsid w:val="006A37B9"/>
    <w:rsid w:val="006B20A6"/>
    <w:rsid w:val="006B2672"/>
    <w:rsid w:val="006B54BF"/>
    <w:rsid w:val="006B5F44"/>
    <w:rsid w:val="006B5F90"/>
    <w:rsid w:val="006B62E4"/>
    <w:rsid w:val="006C0EB1"/>
    <w:rsid w:val="006C1BBA"/>
    <w:rsid w:val="006C2079"/>
    <w:rsid w:val="006C3B04"/>
    <w:rsid w:val="006C5A62"/>
    <w:rsid w:val="006C5D68"/>
    <w:rsid w:val="006C6976"/>
    <w:rsid w:val="006C6DD0"/>
    <w:rsid w:val="006D04EA"/>
    <w:rsid w:val="006D16C4"/>
    <w:rsid w:val="006D3E96"/>
    <w:rsid w:val="006D4515"/>
    <w:rsid w:val="006D4A5C"/>
    <w:rsid w:val="006D4BB1"/>
    <w:rsid w:val="006D6593"/>
    <w:rsid w:val="006E7281"/>
    <w:rsid w:val="006F03A8"/>
    <w:rsid w:val="006F2ACA"/>
    <w:rsid w:val="006F2ADC"/>
    <w:rsid w:val="006F2BFE"/>
    <w:rsid w:val="006F31E9"/>
    <w:rsid w:val="006F6284"/>
    <w:rsid w:val="007002C5"/>
    <w:rsid w:val="00704387"/>
    <w:rsid w:val="00707669"/>
    <w:rsid w:val="0071116C"/>
    <w:rsid w:val="00711CBA"/>
    <w:rsid w:val="00711FB5"/>
    <w:rsid w:val="00712A01"/>
    <w:rsid w:val="00714F58"/>
    <w:rsid w:val="007169F1"/>
    <w:rsid w:val="00722FBF"/>
    <w:rsid w:val="00722FC2"/>
    <w:rsid w:val="00724E1B"/>
    <w:rsid w:val="00725437"/>
    <w:rsid w:val="00725949"/>
    <w:rsid w:val="00727FA2"/>
    <w:rsid w:val="00731B91"/>
    <w:rsid w:val="007322D9"/>
    <w:rsid w:val="00732BC0"/>
    <w:rsid w:val="00736EAA"/>
    <w:rsid w:val="0073720F"/>
    <w:rsid w:val="00737796"/>
    <w:rsid w:val="0074165C"/>
    <w:rsid w:val="007416AB"/>
    <w:rsid w:val="00742C35"/>
    <w:rsid w:val="007432CA"/>
    <w:rsid w:val="0074339B"/>
    <w:rsid w:val="007439EB"/>
    <w:rsid w:val="00743CB4"/>
    <w:rsid w:val="00743F0A"/>
    <w:rsid w:val="007444E8"/>
    <w:rsid w:val="0074548E"/>
    <w:rsid w:val="00745773"/>
    <w:rsid w:val="00746800"/>
    <w:rsid w:val="00746B69"/>
    <w:rsid w:val="007501A8"/>
    <w:rsid w:val="00750D61"/>
    <w:rsid w:val="00750EE1"/>
    <w:rsid w:val="00752B4D"/>
    <w:rsid w:val="00753898"/>
    <w:rsid w:val="00754263"/>
    <w:rsid w:val="00755402"/>
    <w:rsid w:val="00756B26"/>
    <w:rsid w:val="00756EDF"/>
    <w:rsid w:val="007600E3"/>
    <w:rsid w:val="00765C43"/>
    <w:rsid w:val="00765EFB"/>
    <w:rsid w:val="00766D70"/>
    <w:rsid w:val="007671CA"/>
    <w:rsid w:val="00767C61"/>
    <w:rsid w:val="0077008A"/>
    <w:rsid w:val="007704E5"/>
    <w:rsid w:val="00773C1F"/>
    <w:rsid w:val="00774DA4"/>
    <w:rsid w:val="00776599"/>
    <w:rsid w:val="0077798F"/>
    <w:rsid w:val="0078114B"/>
    <w:rsid w:val="00781DD2"/>
    <w:rsid w:val="00783ECF"/>
    <w:rsid w:val="0078413A"/>
    <w:rsid w:val="00793648"/>
    <w:rsid w:val="007959E8"/>
    <w:rsid w:val="00795E9C"/>
    <w:rsid w:val="007963B5"/>
    <w:rsid w:val="007A0178"/>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1BE7"/>
    <w:rsid w:val="007C2D89"/>
    <w:rsid w:val="007C4593"/>
    <w:rsid w:val="007C5309"/>
    <w:rsid w:val="007C6069"/>
    <w:rsid w:val="007C695C"/>
    <w:rsid w:val="007C6A22"/>
    <w:rsid w:val="007D06C4"/>
    <w:rsid w:val="007D1352"/>
    <w:rsid w:val="007D2508"/>
    <w:rsid w:val="007D346A"/>
    <w:rsid w:val="007D6518"/>
    <w:rsid w:val="007D76BD"/>
    <w:rsid w:val="007E0BF1"/>
    <w:rsid w:val="007F0ED8"/>
    <w:rsid w:val="007F0F63"/>
    <w:rsid w:val="007F75CE"/>
    <w:rsid w:val="008013A4"/>
    <w:rsid w:val="008027CE"/>
    <w:rsid w:val="00802F42"/>
    <w:rsid w:val="0080363B"/>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187"/>
    <w:rsid w:val="00843C13"/>
    <w:rsid w:val="00843DEF"/>
    <w:rsid w:val="008454F8"/>
    <w:rsid w:val="0085173A"/>
    <w:rsid w:val="008557AD"/>
    <w:rsid w:val="008603CE"/>
    <w:rsid w:val="008620FC"/>
    <w:rsid w:val="008627A5"/>
    <w:rsid w:val="00863360"/>
    <w:rsid w:val="00863E05"/>
    <w:rsid w:val="00865ACA"/>
    <w:rsid w:val="00865D28"/>
    <w:rsid w:val="00865F85"/>
    <w:rsid w:val="00867C10"/>
    <w:rsid w:val="00870439"/>
    <w:rsid w:val="00870DA1"/>
    <w:rsid w:val="00883F93"/>
    <w:rsid w:val="00884B2C"/>
    <w:rsid w:val="00884DB3"/>
    <w:rsid w:val="00885451"/>
    <w:rsid w:val="00885A9D"/>
    <w:rsid w:val="0088626E"/>
    <w:rsid w:val="008864F6"/>
    <w:rsid w:val="00886B88"/>
    <w:rsid w:val="0089049D"/>
    <w:rsid w:val="00891E00"/>
    <w:rsid w:val="008928C9"/>
    <w:rsid w:val="008930CB"/>
    <w:rsid w:val="008938DC"/>
    <w:rsid w:val="00893FD1"/>
    <w:rsid w:val="00894836"/>
    <w:rsid w:val="00895172"/>
    <w:rsid w:val="00895680"/>
    <w:rsid w:val="00896DFF"/>
    <w:rsid w:val="0089762C"/>
    <w:rsid w:val="008A173B"/>
    <w:rsid w:val="008A1893"/>
    <w:rsid w:val="008A1959"/>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5D"/>
    <w:rsid w:val="008D53AD"/>
    <w:rsid w:val="008D562B"/>
    <w:rsid w:val="008D5733"/>
    <w:rsid w:val="008D622B"/>
    <w:rsid w:val="008D666C"/>
    <w:rsid w:val="008D7B54"/>
    <w:rsid w:val="008E0C9D"/>
    <w:rsid w:val="008E1648"/>
    <w:rsid w:val="008E1B3E"/>
    <w:rsid w:val="008E2319"/>
    <w:rsid w:val="008E2BF0"/>
    <w:rsid w:val="008E4BB6"/>
    <w:rsid w:val="008E5518"/>
    <w:rsid w:val="008E6A84"/>
    <w:rsid w:val="008E787E"/>
    <w:rsid w:val="008F0CDC"/>
    <w:rsid w:val="008F11DB"/>
    <w:rsid w:val="008F1354"/>
    <w:rsid w:val="008F17A3"/>
    <w:rsid w:val="008F1ED3"/>
    <w:rsid w:val="008F4C29"/>
    <w:rsid w:val="008F659D"/>
    <w:rsid w:val="008F70BD"/>
    <w:rsid w:val="008F788F"/>
    <w:rsid w:val="008F7995"/>
    <w:rsid w:val="008F7EA2"/>
    <w:rsid w:val="009018BE"/>
    <w:rsid w:val="00902722"/>
    <w:rsid w:val="009027BC"/>
    <w:rsid w:val="009062E6"/>
    <w:rsid w:val="00910F20"/>
    <w:rsid w:val="009115CC"/>
    <w:rsid w:val="00911BE5"/>
    <w:rsid w:val="00913CA9"/>
    <w:rsid w:val="00914046"/>
    <w:rsid w:val="009145AE"/>
    <w:rsid w:val="009146CE"/>
    <w:rsid w:val="00914CA7"/>
    <w:rsid w:val="00915C3E"/>
    <w:rsid w:val="009161A8"/>
    <w:rsid w:val="009245AE"/>
    <w:rsid w:val="009245F5"/>
    <w:rsid w:val="009249EC"/>
    <w:rsid w:val="00925547"/>
    <w:rsid w:val="009273B3"/>
    <w:rsid w:val="009305B5"/>
    <w:rsid w:val="009378DD"/>
    <w:rsid w:val="00937EEB"/>
    <w:rsid w:val="009429D5"/>
    <w:rsid w:val="00942BF1"/>
    <w:rsid w:val="00945180"/>
    <w:rsid w:val="00945428"/>
    <w:rsid w:val="0094607B"/>
    <w:rsid w:val="00947045"/>
    <w:rsid w:val="00952D82"/>
    <w:rsid w:val="00953604"/>
    <w:rsid w:val="0095496B"/>
    <w:rsid w:val="00960F1E"/>
    <w:rsid w:val="009610DC"/>
    <w:rsid w:val="00961490"/>
    <w:rsid w:val="0096381A"/>
    <w:rsid w:val="00965082"/>
    <w:rsid w:val="00965E04"/>
    <w:rsid w:val="00966320"/>
    <w:rsid w:val="009674AD"/>
    <w:rsid w:val="00967D0D"/>
    <w:rsid w:val="00970CDC"/>
    <w:rsid w:val="00975727"/>
    <w:rsid w:val="00977010"/>
    <w:rsid w:val="00977D02"/>
    <w:rsid w:val="00977FF9"/>
    <w:rsid w:val="009806D7"/>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582F"/>
    <w:rsid w:val="009B6029"/>
    <w:rsid w:val="009B6971"/>
    <w:rsid w:val="009B6ABC"/>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9F1FA4"/>
    <w:rsid w:val="00A0096C"/>
    <w:rsid w:val="00A01757"/>
    <w:rsid w:val="00A028C0"/>
    <w:rsid w:val="00A02BAE"/>
    <w:rsid w:val="00A06A6B"/>
    <w:rsid w:val="00A074DE"/>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15B7"/>
    <w:rsid w:val="00A648CD"/>
    <w:rsid w:val="00A64BDD"/>
    <w:rsid w:val="00A6537A"/>
    <w:rsid w:val="00A67866"/>
    <w:rsid w:val="00A70B07"/>
    <w:rsid w:val="00A712C2"/>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A794A"/>
    <w:rsid w:val="00AB449A"/>
    <w:rsid w:val="00AB6309"/>
    <w:rsid w:val="00AB6C5F"/>
    <w:rsid w:val="00AB7129"/>
    <w:rsid w:val="00AC27A6"/>
    <w:rsid w:val="00AC30F7"/>
    <w:rsid w:val="00AC3A5A"/>
    <w:rsid w:val="00AC4D95"/>
    <w:rsid w:val="00AC5DF4"/>
    <w:rsid w:val="00AC5F21"/>
    <w:rsid w:val="00AC7309"/>
    <w:rsid w:val="00AD0AEF"/>
    <w:rsid w:val="00AD11B7"/>
    <w:rsid w:val="00AD1A94"/>
    <w:rsid w:val="00AD1C05"/>
    <w:rsid w:val="00AD4126"/>
    <w:rsid w:val="00AD421C"/>
    <w:rsid w:val="00AD44FA"/>
    <w:rsid w:val="00AD499D"/>
    <w:rsid w:val="00AD5F97"/>
    <w:rsid w:val="00AE070A"/>
    <w:rsid w:val="00AE101C"/>
    <w:rsid w:val="00AE2A69"/>
    <w:rsid w:val="00AE36E5"/>
    <w:rsid w:val="00AE37E5"/>
    <w:rsid w:val="00AE5EB4"/>
    <w:rsid w:val="00AF0C18"/>
    <w:rsid w:val="00AF47C5"/>
    <w:rsid w:val="00AF5398"/>
    <w:rsid w:val="00B049AF"/>
    <w:rsid w:val="00B05CC5"/>
    <w:rsid w:val="00B07242"/>
    <w:rsid w:val="00B10534"/>
    <w:rsid w:val="00B113DB"/>
    <w:rsid w:val="00B11D8A"/>
    <w:rsid w:val="00B12981"/>
    <w:rsid w:val="00B147DD"/>
    <w:rsid w:val="00B156FD"/>
    <w:rsid w:val="00B21F61"/>
    <w:rsid w:val="00B261F1"/>
    <w:rsid w:val="00B265BC"/>
    <w:rsid w:val="00B31E62"/>
    <w:rsid w:val="00B31FB1"/>
    <w:rsid w:val="00B32509"/>
    <w:rsid w:val="00B33952"/>
    <w:rsid w:val="00B33C5E"/>
    <w:rsid w:val="00B342F4"/>
    <w:rsid w:val="00B34369"/>
    <w:rsid w:val="00B34DC2"/>
    <w:rsid w:val="00B378E5"/>
    <w:rsid w:val="00B379AD"/>
    <w:rsid w:val="00B42A4D"/>
    <w:rsid w:val="00B4346D"/>
    <w:rsid w:val="00B440F4"/>
    <w:rsid w:val="00B447A5"/>
    <w:rsid w:val="00B4654C"/>
    <w:rsid w:val="00B47293"/>
    <w:rsid w:val="00B47A25"/>
    <w:rsid w:val="00B50E50"/>
    <w:rsid w:val="00B52120"/>
    <w:rsid w:val="00B54ABC"/>
    <w:rsid w:val="00B56FBE"/>
    <w:rsid w:val="00B578C4"/>
    <w:rsid w:val="00B60ACF"/>
    <w:rsid w:val="00B62B58"/>
    <w:rsid w:val="00B65149"/>
    <w:rsid w:val="00B66567"/>
    <w:rsid w:val="00B66F52"/>
    <w:rsid w:val="00B66FE5"/>
    <w:rsid w:val="00B67673"/>
    <w:rsid w:val="00B67D92"/>
    <w:rsid w:val="00B70C76"/>
    <w:rsid w:val="00B72880"/>
    <w:rsid w:val="00B758BF"/>
    <w:rsid w:val="00B77EC8"/>
    <w:rsid w:val="00B827A6"/>
    <w:rsid w:val="00B831CE"/>
    <w:rsid w:val="00B86465"/>
    <w:rsid w:val="00B86677"/>
    <w:rsid w:val="00B87131"/>
    <w:rsid w:val="00B939B1"/>
    <w:rsid w:val="00B96362"/>
    <w:rsid w:val="00B96D40"/>
    <w:rsid w:val="00B97386"/>
    <w:rsid w:val="00B977CF"/>
    <w:rsid w:val="00BA2590"/>
    <w:rsid w:val="00BA263B"/>
    <w:rsid w:val="00BA42B2"/>
    <w:rsid w:val="00BA58D4"/>
    <w:rsid w:val="00BA5B9E"/>
    <w:rsid w:val="00BA7C9A"/>
    <w:rsid w:val="00BB5ED4"/>
    <w:rsid w:val="00BB5F8F"/>
    <w:rsid w:val="00BB657A"/>
    <w:rsid w:val="00BB793D"/>
    <w:rsid w:val="00BC1A4E"/>
    <w:rsid w:val="00BC5DC7"/>
    <w:rsid w:val="00BC6B8B"/>
    <w:rsid w:val="00BC73D8"/>
    <w:rsid w:val="00BD52D7"/>
    <w:rsid w:val="00BD5AD2"/>
    <w:rsid w:val="00BE1CAE"/>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14655"/>
    <w:rsid w:val="00C21540"/>
    <w:rsid w:val="00C21906"/>
    <w:rsid w:val="00C21BFA"/>
    <w:rsid w:val="00C23AAD"/>
    <w:rsid w:val="00C24C8D"/>
    <w:rsid w:val="00C25FE2"/>
    <w:rsid w:val="00C26B53"/>
    <w:rsid w:val="00C279B2"/>
    <w:rsid w:val="00C33E50"/>
    <w:rsid w:val="00C34C20"/>
    <w:rsid w:val="00C35A3E"/>
    <w:rsid w:val="00C42130"/>
    <w:rsid w:val="00C423A4"/>
    <w:rsid w:val="00C423E3"/>
    <w:rsid w:val="00C42E5F"/>
    <w:rsid w:val="00C44BF5"/>
    <w:rsid w:val="00C521D6"/>
    <w:rsid w:val="00C533DE"/>
    <w:rsid w:val="00C55232"/>
    <w:rsid w:val="00C553A4"/>
    <w:rsid w:val="00C55A06"/>
    <w:rsid w:val="00C55D03"/>
    <w:rsid w:val="00C572BC"/>
    <w:rsid w:val="00C601BC"/>
    <w:rsid w:val="00C620A0"/>
    <w:rsid w:val="00C6329F"/>
    <w:rsid w:val="00C63340"/>
    <w:rsid w:val="00C643F9"/>
    <w:rsid w:val="00C64E95"/>
    <w:rsid w:val="00C70D69"/>
    <w:rsid w:val="00C71372"/>
    <w:rsid w:val="00C71FFC"/>
    <w:rsid w:val="00C72410"/>
    <w:rsid w:val="00C7287F"/>
    <w:rsid w:val="00C80CB8"/>
    <w:rsid w:val="00C819F8"/>
    <w:rsid w:val="00C8248C"/>
    <w:rsid w:val="00C84E33"/>
    <w:rsid w:val="00C86D6F"/>
    <w:rsid w:val="00C905FC"/>
    <w:rsid w:val="00C92D03"/>
    <w:rsid w:val="00C9319C"/>
    <w:rsid w:val="00C94171"/>
    <w:rsid w:val="00C9435D"/>
    <w:rsid w:val="00C94DF2"/>
    <w:rsid w:val="00C95140"/>
    <w:rsid w:val="00C96741"/>
    <w:rsid w:val="00C97DF5"/>
    <w:rsid w:val="00CA1DDF"/>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E5ABA"/>
    <w:rsid w:val="00CF048A"/>
    <w:rsid w:val="00CF0B2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55D"/>
    <w:rsid w:val="00D1489E"/>
    <w:rsid w:val="00D20737"/>
    <w:rsid w:val="00D21E81"/>
    <w:rsid w:val="00D223DE"/>
    <w:rsid w:val="00D25E37"/>
    <w:rsid w:val="00D260DB"/>
    <w:rsid w:val="00D2661A"/>
    <w:rsid w:val="00D27582"/>
    <w:rsid w:val="00D27EC4"/>
    <w:rsid w:val="00D32719"/>
    <w:rsid w:val="00D33333"/>
    <w:rsid w:val="00D352A2"/>
    <w:rsid w:val="00D361FE"/>
    <w:rsid w:val="00D4162B"/>
    <w:rsid w:val="00D4514F"/>
    <w:rsid w:val="00D451E2"/>
    <w:rsid w:val="00D45E89"/>
    <w:rsid w:val="00D45E8D"/>
    <w:rsid w:val="00D466AE"/>
    <w:rsid w:val="00D4734F"/>
    <w:rsid w:val="00D51BF3"/>
    <w:rsid w:val="00D54F2C"/>
    <w:rsid w:val="00D66846"/>
    <w:rsid w:val="00D675FB"/>
    <w:rsid w:val="00D71F25"/>
    <w:rsid w:val="00D72A9C"/>
    <w:rsid w:val="00D77031"/>
    <w:rsid w:val="00D84941"/>
    <w:rsid w:val="00D84FA1"/>
    <w:rsid w:val="00D851F0"/>
    <w:rsid w:val="00D86DB7"/>
    <w:rsid w:val="00D87BF5"/>
    <w:rsid w:val="00D90721"/>
    <w:rsid w:val="00D926D0"/>
    <w:rsid w:val="00D93030"/>
    <w:rsid w:val="00D94241"/>
    <w:rsid w:val="00D950E1"/>
    <w:rsid w:val="00D952A6"/>
    <w:rsid w:val="00D96890"/>
    <w:rsid w:val="00D97F99"/>
    <w:rsid w:val="00DA1E08"/>
    <w:rsid w:val="00DA24F8"/>
    <w:rsid w:val="00DA28E8"/>
    <w:rsid w:val="00DA38D3"/>
    <w:rsid w:val="00DA3932"/>
    <w:rsid w:val="00DA3AFC"/>
    <w:rsid w:val="00DA50CA"/>
    <w:rsid w:val="00DA64F8"/>
    <w:rsid w:val="00DA6C15"/>
    <w:rsid w:val="00DB0258"/>
    <w:rsid w:val="00DB38EE"/>
    <w:rsid w:val="00DB498B"/>
    <w:rsid w:val="00DB66CA"/>
    <w:rsid w:val="00DB6BCA"/>
    <w:rsid w:val="00DB6F54"/>
    <w:rsid w:val="00DB73F7"/>
    <w:rsid w:val="00DC0321"/>
    <w:rsid w:val="00DC3067"/>
    <w:rsid w:val="00DC370B"/>
    <w:rsid w:val="00DC4951"/>
    <w:rsid w:val="00DC5B90"/>
    <w:rsid w:val="00DC6440"/>
    <w:rsid w:val="00DD00FF"/>
    <w:rsid w:val="00DD0619"/>
    <w:rsid w:val="00DD07FB"/>
    <w:rsid w:val="00DD25C6"/>
    <w:rsid w:val="00DD4FE5"/>
    <w:rsid w:val="00DD54B0"/>
    <w:rsid w:val="00DD57EE"/>
    <w:rsid w:val="00DD6BCC"/>
    <w:rsid w:val="00DE0A4B"/>
    <w:rsid w:val="00DE0C5D"/>
    <w:rsid w:val="00DE2410"/>
    <w:rsid w:val="00DE2939"/>
    <w:rsid w:val="00DE5362"/>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1E1C"/>
    <w:rsid w:val="00E32CCF"/>
    <w:rsid w:val="00E34A98"/>
    <w:rsid w:val="00E35D1E"/>
    <w:rsid w:val="00E36290"/>
    <w:rsid w:val="00E364F9"/>
    <w:rsid w:val="00E365FA"/>
    <w:rsid w:val="00E36789"/>
    <w:rsid w:val="00E44A83"/>
    <w:rsid w:val="00E502C1"/>
    <w:rsid w:val="00E502DD"/>
    <w:rsid w:val="00E50D3A"/>
    <w:rsid w:val="00E51387"/>
    <w:rsid w:val="00E51E68"/>
    <w:rsid w:val="00E52EFD"/>
    <w:rsid w:val="00E5408A"/>
    <w:rsid w:val="00E54929"/>
    <w:rsid w:val="00E561FB"/>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86704"/>
    <w:rsid w:val="00E870EA"/>
    <w:rsid w:val="00E90391"/>
    <w:rsid w:val="00E906C2"/>
    <w:rsid w:val="00E9311F"/>
    <w:rsid w:val="00E934D1"/>
    <w:rsid w:val="00E94AF0"/>
    <w:rsid w:val="00E9583B"/>
    <w:rsid w:val="00E95930"/>
    <w:rsid w:val="00E95D13"/>
    <w:rsid w:val="00E95DD3"/>
    <w:rsid w:val="00E969D5"/>
    <w:rsid w:val="00EA58D1"/>
    <w:rsid w:val="00EA61BC"/>
    <w:rsid w:val="00EA681A"/>
    <w:rsid w:val="00EA735B"/>
    <w:rsid w:val="00EB1E69"/>
    <w:rsid w:val="00EB2086"/>
    <w:rsid w:val="00EB31ED"/>
    <w:rsid w:val="00EB5609"/>
    <w:rsid w:val="00EB5EDF"/>
    <w:rsid w:val="00EB60FE"/>
    <w:rsid w:val="00EB74DB"/>
    <w:rsid w:val="00EC2B59"/>
    <w:rsid w:val="00EC5359"/>
    <w:rsid w:val="00EC562A"/>
    <w:rsid w:val="00EC6904"/>
    <w:rsid w:val="00ED067A"/>
    <w:rsid w:val="00ED2B50"/>
    <w:rsid w:val="00ED3E25"/>
    <w:rsid w:val="00ED44BD"/>
    <w:rsid w:val="00EE0350"/>
    <w:rsid w:val="00EE0719"/>
    <w:rsid w:val="00EE0E80"/>
    <w:rsid w:val="00EE45B6"/>
    <w:rsid w:val="00EE613F"/>
    <w:rsid w:val="00EE7295"/>
    <w:rsid w:val="00EE7869"/>
    <w:rsid w:val="00EE7E29"/>
    <w:rsid w:val="00EF054A"/>
    <w:rsid w:val="00EF0F28"/>
    <w:rsid w:val="00EF3235"/>
    <w:rsid w:val="00EF7E72"/>
    <w:rsid w:val="00F02025"/>
    <w:rsid w:val="00F02B10"/>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0598"/>
    <w:rsid w:val="00F4129F"/>
    <w:rsid w:val="00F420D5"/>
    <w:rsid w:val="00F451EA"/>
    <w:rsid w:val="00F45447"/>
    <w:rsid w:val="00F456C6"/>
    <w:rsid w:val="00F4577B"/>
    <w:rsid w:val="00F46496"/>
    <w:rsid w:val="00F474D0"/>
    <w:rsid w:val="00F475B6"/>
    <w:rsid w:val="00F50179"/>
    <w:rsid w:val="00F515EE"/>
    <w:rsid w:val="00F5293F"/>
    <w:rsid w:val="00F52C4E"/>
    <w:rsid w:val="00F55435"/>
    <w:rsid w:val="00F55BE9"/>
    <w:rsid w:val="00F56511"/>
    <w:rsid w:val="00F6194E"/>
    <w:rsid w:val="00F623AC"/>
    <w:rsid w:val="00F6412A"/>
    <w:rsid w:val="00F6441B"/>
    <w:rsid w:val="00F65893"/>
    <w:rsid w:val="00F66A4A"/>
    <w:rsid w:val="00F71E22"/>
    <w:rsid w:val="00F72142"/>
    <w:rsid w:val="00F72AE7"/>
    <w:rsid w:val="00F75CCF"/>
    <w:rsid w:val="00F7692B"/>
    <w:rsid w:val="00F80490"/>
    <w:rsid w:val="00F833BA"/>
    <w:rsid w:val="00F84FD0"/>
    <w:rsid w:val="00F859A8"/>
    <w:rsid w:val="00F86D87"/>
    <w:rsid w:val="00F9108B"/>
    <w:rsid w:val="00F91349"/>
    <w:rsid w:val="00F93A8A"/>
    <w:rsid w:val="00F95248"/>
    <w:rsid w:val="00F956A9"/>
    <w:rsid w:val="00F963ED"/>
    <w:rsid w:val="00F966CF"/>
    <w:rsid w:val="00F96CAE"/>
    <w:rsid w:val="00F97C99"/>
    <w:rsid w:val="00FA0FED"/>
    <w:rsid w:val="00FA662D"/>
    <w:rsid w:val="00FA73B1"/>
    <w:rsid w:val="00FB0CB9"/>
    <w:rsid w:val="00FB231D"/>
    <w:rsid w:val="00FB23D5"/>
    <w:rsid w:val="00FB45F1"/>
    <w:rsid w:val="00FB4A72"/>
    <w:rsid w:val="00FB54E8"/>
    <w:rsid w:val="00FB7054"/>
    <w:rsid w:val="00FC17B7"/>
    <w:rsid w:val="00FC2CB7"/>
    <w:rsid w:val="00FC4090"/>
    <w:rsid w:val="00FC4588"/>
    <w:rsid w:val="00FC55B4"/>
    <w:rsid w:val="00FC70E6"/>
    <w:rsid w:val="00FD00E6"/>
    <w:rsid w:val="00FD09A1"/>
    <w:rsid w:val="00FD2A7C"/>
    <w:rsid w:val="00FD59EB"/>
    <w:rsid w:val="00FD7299"/>
    <w:rsid w:val="00FE1A08"/>
    <w:rsid w:val="00FE1FBE"/>
    <w:rsid w:val="00FE3901"/>
    <w:rsid w:val="00FE39D3"/>
    <w:rsid w:val="00FE4BCE"/>
    <w:rsid w:val="00FE54AE"/>
    <w:rsid w:val="00FE576A"/>
    <w:rsid w:val="00FE7B5D"/>
    <w:rsid w:val="00FE7E79"/>
    <w:rsid w:val="00FF3E7D"/>
    <w:rsid w:val="00FF5B99"/>
    <w:rsid w:val="00FF730C"/>
    <w:rsid w:val="00FF73F4"/>
    <w:rsid w:val="00FF7CE4"/>
    <w:rsid w:val="00FF7E39"/>
    <w:rsid w:val="03E65BCD"/>
    <w:rsid w:val="07FF880F"/>
    <w:rsid w:val="0DDF3D29"/>
    <w:rsid w:val="0FF52F06"/>
    <w:rsid w:val="171F9A38"/>
    <w:rsid w:val="177EDA40"/>
    <w:rsid w:val="1BED1CB0"/>
    <w:rsid w:val="1BFA2D46"/>
    <w:rsid w:val="1FDE6994"/>
    <w:rsid w:val="24B7B8FF"/>
    <w:rsid w:val="27FF1DAF"/>
    <w:rsid w:val="2BAB2A65"/>
    <w:rsid w:val="2EDED8F7"/>
    <w:rsid w:val="2F2DC6D6"/>
    <w:rsid w:val="2FBFB612"/>
    <w:rsid w:val="2FF74C26"/>
    <w:rsid w:val="2FFA98A9"/>
    <w:rsid w:val="2FFFD587"/>
    <w:rsid w:val="33DE9D25"/>
    <w:rsid w:val="33EBF1D6"/>
    <w:rsid w:val="33FFCB11"/>
    <w:rsid w:val="351F2ED3"/>
    <w:rsid w:val="35F853EA"/>
    <w:rsid w:val="364F395E"/>
    <w:rsid w:val="376D6342"/>
    <w:rsid w:val="37775CD0"/>
    <w:rsid w:val="377EB063"/>
    <w:rsid w:val="377F2F4F"/>
    <w:rsid w:val="3B9BA0FB"/>
    <w:rsid w:val="3BE76840"/>
    <w:rsid w:val="3BFFD7B3"/>
    <w:rsid w:val="3C720C76"/>
    <w:rsid w:val="3CBF5DEC"/>
    <w:rsid w:val="3D798988"/>
    <w:rsid w:val="3DCC73E2"/>
    <w:rsid w:val="3DFF5D36"/>
    <w:rsid w:val="3E7378F4"/>
    <w:rsid w:val="3E8E67BE"/>
    <w:rsid w:val="3EAA3103"/>
    <w:rsid w:val="3EFE6694"/>
    <w:rsid w:val="3EFF2207"/>
    <w:rsid w:val="3F5F6061"/>
    <w:rsid w:val="3FBF14D7"/>
    <w:rsid w:val="3FF7129E"/>
    <w:rsid w:val="4448A8B4"/>
    <w:rsid w:val="4775772F"/>
    <w:rsid w:val="4CB7CEA1"/>
    <w:rsid w:val="4E778B70"/>
    <w:rsid w:val="4F7F05FB"/>
    <w:rsid w:val="4FCC1867"/>
    <w:rsid w:val="4FED965A"/>
    <w:rsid w:val="4FFF48AA"/>
    <w:rsid w:val="53FF5731"/>
    <w:rsid w:val="566B573F"/>
    <w:rsid w:val="573FF802"/>
    <w:rsid w:val="57BEF6FE"/>
    <w:rsid w:val="57BFA36F"/>
    <w:rsid w:val="59C5800F"/>
    <w:rsid w:val="5B97BA8A"/>
    <w:rsid w:val="5BBBB27A"/>
    <w:rsid w:val="5BFF48B7"/>
    <w:rsid w:val="5CFD0F2D"/>
    <w:rsid w:val="5D9552E2"/>
    <w:rsid w:val="5DB3F9D5"/>
    <w:rsid w:val="5DFD3F0C"/>
    <w:rsid w:val="5DFEA12F"/>
    <w:rsid w:val="5DFFF9CB"/>
    <w:rsid w:val="5EAADBBD"/>
    <w:rsid w:val="5EBFF579"/>
    <w:rsid w:val="5EFF9B33"/>
    <w:rsid w:val="5EFFF1AA"/>
    <w:rsid w:val="5F37D847"/>
    <w:rsid w:val="5F7BD542"/>
    <w:rsid w:val="5FAF3C07"/>
    <w:rsid w:val="5FCEAF10"/>
    <w:rsid w:val="5FFA2D85"/>
    <w:rsid w:val="5FFDD3DA"/>
    <w:rsid w:val="5FFFCEA6"/>
    <w:rsid w:val="6378E272"/>
    <w:rsid w:val="64FB3AFC"/>
    <w:rsid w:val="656F9DB2"/>
    <w:rsid w:val="65BD3346"/>
    <w:rsid w:val="667723F0"/>
    <w:rsid w:val="669FADD9"/>
    <w:rsid w:val="679B0C2D"/>
    <w:rsid w:val="67E74431"/>
    <w:rsid w:val="67E77967"/>
    <w:rsid w:val="67EEF703"/>
    <w:rsid w:val="680F803B"/>
    <w:rsid w:val="69DF8B48"/>
    <w:rsid w:val="69FEC8FC"/>
    <w:rsid w:val="6A9AA885"/>
    <w:rsid w:val="6C5EDB9D"/>
    <w:rsid w:val="6CAF405B"/>
    <w:rsid w:val="6CFDDAEC"/>
    <w:rsid w:val="6D3F2E88"/>
    <w:rsid w:val="6D7BB867"/>
    <w:rsid w:val="6DB6DD8D"/>
    <w:rsid w:val="6E7FD319"/>
    <w:rsid w:val="6F3DB6D6"/>
    <w:rsid w:val="6F6F849F"/>
    <w:rsid w:val="6F76075F"/>
    <w:rsid w:val="6F778192"/>
    <w:rsid w:val="6F7AF4E0"/>
    <w:rsid w:val="6F7FCD00"/>
    <w:rsid w:val="6FBEEE9C"/>
    <w:rsid w:val="6FBFA74A"/>
    <w:rsid w:val="6FC7CA2F"/>
    <w:rsid w:val="6FDD64F2"/>
    <w:rsid w:val="6FF33348"/>
    <w:rsid w:val="6FF7DFD1"/>
    <w:rsid w:val="709BE8AC"/>
    <w:rsid w:val="70FF2DFE"/>
    <w:rsid w:val="717ECF2B"/>
    <w:rsid w:val="747FD1EF"/>
    <w:rsid w:val="75BFDE38"/>
    <w:rsid w:val="75FB97B8"/>
    <w:rsid w:val="777B2A37"/>
    <w:rsid w:val="77BA7383"/>
    <w:rsid w:val="77BF6A32"/>
    <w:rsid w:val="77CEC92C"/>
    <w:rsid w:val="77FB6306"/>
    <w:rsid w:val="77FF3297"/>
    <w:rsid w:val="77FF66CC"/>
    <w:rsid w:val="7ADED0BD"/>
    <w:rsid w:val="7AEF0EF1"/>
    <w:rsid w:val="7AF3C791"/>
    <w:rsid w:val="7B8F32E2"/>
    <w:rsid w:val="7BBF217D"/>
    <w:rsid w:val="7BBFD0E8"/>
    <w:rsid w:val="7BC1B447"/>
    <w:rsid w:val="7BDB7876"/>
    <w:rsid w:val="7BF3190F"/>
    <w:rsid w:val="7BF7DD42"/>
    <w:rsid w:val="7BFE9999"/>
    <w:rsid w:val="7BFEDAD0"/>
    <w:rsid w:val="7D6F13BF"/>
    <w:rsid w:val="7D7D5E91"/>
    <w:rsid w:val="7DA9E36E"/>
    <w:rsid w:val="7DAE5EE1"/>
    <w:rsid w:val="7DDB357B"/>
    <w:rsid w:val="7DDD4D69"/>
    <w:rsid w:val="7DF3D663"/>
    <w:rsid w:val="7DF75732"/>
    <w:rsid w:val="7E721CCC"/>
    <w:rsid w:val="7E7B4D64"/>
    <w:rsid w:val="7E9F8E83"/>
    <w:rsid w:val="7EF73BE2"/>
    <w:rsid w:val="7EFDAAAD"/>
    <w:rsid w:val="7EFDAFFD"/>
    <w:rsid w:val="7EFF05CB"/>
    <w:rsid w:val="7EFF4555"/>
    <w:rsid w:val="7F56F716"/>
    <w:rsid w:val="7F7F246B"/>
    <w:rsid w:val="7F9BBC9B"/>
    <w:rsid w:val="7FA6DB0C"/>
    <w:rsid w:val="7FA72CEF"/>
    <w:rsid w:val="7FBF6F47"/>
    <w:rsid w:val="7FC70666"/>
    <w:rsid w:val="7FCFCAE3"/>
    <w:rsid w:val="7FDF0D86"/>
    <w:rsid w:val="7FEBC452"/>
    <w:rsid w:val="7FEF73F0"/>
    <w:rsid w:val="7FEFF368"/>
    <w:rsid w:val="7FF54B4E"/>
    <w:rsid w:val="7FF65878"/>
    <w:rsid w:val="7FFE9045"/>
    <w:rsid w:val="7FFFB534"/>
    <w:rsid w:val="87EB4573"/>
    <w:rsid w:val="8D4EE3AD"/>
    <w:rsid w:val="8EFF3A0D"/>
    <w:rsid w:val="8FFB7116"/>
    <w:rsid w:val="91954B81"/>
    <w:rsid w:val="98FEE25B"/>
    <w:rsid w:val="993F1A8C"/>
    <w:rsid w:val="9D5EABF3"/>
    <w:rsid w:val="9DDAE577"/>
    <w:rsid w:val="9E7DE841"/>
    <w:rsid w:val="A5D6421E"/>
    <w:rsid w:val="A739B034"/>
    <w:rsid w:val="A9B7030D"/>
    <w:rsid w:val="ABFD4140"/>
    <w:rsid w:val="ACBB1D46"/>
    <w:rsid w:val="AE7F8E38"/>
    <w:rsid w:val="AEBF2DAC"/>
    <w:rsid w:val="AF7B2B13"/>
    <w:rsid w:val="B1FDA94A"/>
    <w:rsid w:val="B3DFA7B9"/>
    <w:rsid w:val="B6CCA886"/>
    <w:rsid w:val="B7F6FE05"/>
    <w:rsid w:val="B9C75907"/>
    <w:rsid w:val="BB778ABD"/>
    <w:rsid w:val="BB997A53"/>
    <w:rsid w:val="BBFF5814"/>
    <w:rsid w:val="BCDF46FC"/>
    <w:rsid w:val="BD11D072"/>
    <w:rsid w:val="BDE77A1B"/>
    <w:rsid w:val="BDEE5863"/>
    <w:rsid w:val="BDEFBF10"/>
    <w:rsid w:val="BE37615B"/>
    <w:rsid w:val="BE7DDCE7"/>
    <w:rsid w:val="BEB5E4FC"/>
    <w:rsid w:val="BF459EC9"/>
    <w:rsid w:val="BF7D8E5D"/>
    <w:rsid w:val="BFD56901"/>
    <w:rsid w:val="BFD7B663"/>
    <w:rsid w:val="BFF69CEA"/>
    <w:rsid w:val="BFFF4327"/>
    <w:rsid w:val="BFFFA42D"/>
    <w:rsid w:val="BFFFE8B8"/>
    <w:rsid w:val="C0E38F21"/>
    <w:rsid w:val="C5BED5AF"/>
    <w:rsid w:val="C75FD608"/>
    <w:rsid w:val="C79FB37D"/>
    <w:rsid w:val="C9D755FA"/>
    <w:rsid w:val="CE676EE2"/>
    <w:rsid w:val="CFBF5484"/>
    <w:rsid w:val="CFCB53D5"/>
    <w:rsid w:val="D2AF6CE5"/>
    <w:rsid w:val="D4EA37C0"/>
    <w:rsid w:val="D7DF237C"/>
    <w:rsid w:val="D7FF8A2E"/>
    <w:rsid w:val="D9AFF5BC"/>
    <w:rsid w:val="D9FC512A"/>
    <w:rsid w:val="DAFFE48E"/>
    <w:rsid w:val="DB57A0AC"/>
    <w:rsid w:val="DB7B7D24"/>
    <w:rsid w:val="DBDD0F58"/>
    <w:rsid w:val="DC5BA50F"/>
    <w:rsid w:val="DCF57F29"/>
    <w:rsid w:val="DD9F7470"/>
    <w:rsid w:val="DDF9174A"/>
    <w:rsid w:val="DDFF05FE"/>
    <w:rsid w:val="DE3F29FF"/>
    <w:rsid w:val="DEFBB907"/>
    <w:rsid w:val="DEFD59E0"/>
    <w:rsid w:val="DEFE6F02"/>
    <w:rsid w:val="DEFFA488"/>
    <w:rsid w:val="DF26566E"/>
    <w:rsid w:val="DF7EA33C"/>
    <w:rsid w:val="DF7F4D23"/>
    <w:rsid w:val="DF7F50D9"/>
    <w:rsid w:val="DFB802E7"/>
    <w:rsid w:val="DFBEB3A3"/>
    <w:rsid w:val="DFDC6B0C"/>
    <w:rsid w:val="DFF1B104"/>
    <w:rsid w:val="DFFF77B8"/>
    <w:rsid w:val="E2DEB389"/>
    <w:rsid w:val="E5EEA5AF"/>
    <w:rsid w:val="E6FDD4AF"/>
    <w:rsid w:val="E7AB2B33"/>
    <w:rsid w:val="E7F78D02"/>
    <w:rsid w:val="E7FF8642"/>
    <w:rsid w:val="E8AF6295"/>
    <w:rsid w:val="E9E98A2D"/>
    <w:rsid w:val="EBA7CF6C"/>
    <w:rsid w:val="EBDF1CBD"/>
    <w:rsid w:val="EDF23C1E"/>
    <w:rsid w:val="EEFD6188"/>
    <w:rsid w:val="EF62BD1F"/>
    <w:rsid w:val="EF7FDD8E"/>
    <w:rsid w:val="EFBA4410"/>
    <w:rsid w:val="EFDA8A5F"/>
    <w:rsid w:val="EFEBEE2F"/>
    <w:rsid w:val="EFF506E0"/>
    <w:rsid w:val="EFFB7CA5"/>
    <w:rsid w:val="EFFD1BE6"/>
    <w:rsid w:val="EFFFC004"/>
    <w:rsid w:val="F2EB6B54"/>
    <w:rsid w:val="F3ADB7E8"/>
    <w:rsid w:val="F3DCBA15"/>
    <w:rsid w:val="F3DF7D5B"/>
    <w:rsid w:val="F4DFD326"/>
    <w:rsid w:val="F4FB4B98"/>
    <w:rsid w:val="F53670BC"/>
    <w:rsid w:val="F5FD964D"/>
    <w:rsid w:val="F5FDF37B"/>
    <w:rsid w:val="F676C19F"/>
    <w:rsid w:val="F67B8A66"/>
    <w:rsid w:val="F6B34DD5"/>
    <w:rsid w:val="F6F9CD52"/>
    <w:rsid w:val="F6FED52F"/>
    <w:rsid w:val="F6FFB51F"/>
    <w:rsid w:val="F764BB74"/>
    <w:rsid w:val="F767795B"/>
    <w:rsid w:val="F77167F8"/>
    <w:rsid w:val="F7AB1088"/>
    <w:rsid w:val="F7BFA67C"/>
    <w:rsid w:val="F7D3C299"/>
    <w:rsid w:val="F7DBE7A4"/>
    <w:rsid w:val="F7FB845A"/>
    <w:rsid w:val="F9BDABA4"/>
    <w:rsid w:val="F9EB825C"/>
    <w:rsid w:val="F9FB0A3D"/>
    <w:rsid w:val="FABFD192"/>
    <w:rsid w:val="FAFBBCB5"/>
    <w:rsid w:val="FB6ADAF5"/>
    <w:rsid w:val="FB7D20FF"/>
    <w:rsid w:val="FBA32294"/>
    <w:rsid w:val="FBEF7148"/>
    <w:rsid w:val="FBF40CA6"/>
    <w:rsid w:val="FC77B416"/>
    <w:rsid w:val="FC7F02CA"/>
    <w:rsid w:val="FCDF2114"/>
    <w:rsid w:val="FD6F79C9"/>
    <w:rsid w:val="FD9B7D21"/>
    <w:rsid w:val="FDB17043"/>
    <w:rsid w:val="FDB5E6A7"/>
    <w:rsid w:val="FDBD4A6B"/>
    <w:rsid w:val="FDE668E9"/>
    <w:rsid w:val="FDF70EA9"/>
    <w:rsid w:val="FDFDDE83"/>
    <w:rsid w:val="FDFF44D0"/>
    <w:rsid w:val="FDFF8796"/>
    <w:rsid w:val="FE4F3DBE"/>
    <w:rsid w:val="FE7D16D4"/>
    <w:rsid w:val="FE9F6724"/>
    <w:rsid w:val="FEBF4DCB"/>
    <w:rsid w:val="FEBF54B3"/>
    <w:rsid w:val="FEBFB686"/>
    <w:rsid w:val="FEE16591"/>
    <w:rsid w:val="FEEF486F"/>
    <w:rsid w:val="FEF34A2C"/>
    <w:rsid w:val="FEF641F3"/>
    <w:rsid w:val="FEFBC385"/>
    <w:rsid w:val="FEFF2545"/>
    <w:rsid w:val="FEFFA4D5"/>
    <w:rsid w:val="FEFFC9A4"/>
    <w:rsid w:val="FF0FBA2B"/>
    <w:rsid w:val="FF47CAF3"/>
    <w:rsid w:val="FF5B0671"/>
    <w:rsid w:val="FF5BC472"/>
    <w:rsid w:val="FF5BD9A3"/>
    <w:rsid w:val="FF6D4E3A"/>
    <w:rsid w:val="FF71B755"/>
    <w:rsid w:val="FF7CEB16"/>
    <w:rsid w:val="FF8F01B9"/>
    <w:rsid w:val="FFAFF1FA"/>
    <w:rsid w:val="FFB7EC9A"/>
    <w:rsid w:val="FFBD4534"/>
    <w:rsid w:val="FFBE173B"/>
    <w:rsid w:val="FFBFABBF"/>
    <w:rsid w:val="FFBFFA1A"/>
    <w:rsid w:val="FFDA5E58"/>
    <w:rsid w:val="FFED3D65"/>
    <w:rsid w:val="FFF42E5F"/>
    <w:rsid w:val="FFF60F8D"/>
    <w:rsid w:val="FFFB5C7C"/>
    <w:rsid w:val="FFFFA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44"/>
    <w:semiHidden/>
    <w:unhideWhenUsed/>
    <w:qFormat/>
    <w:uiPriority w:val="99"/>
    <w:pPr>
      <w:jc w:val="left"/>
    </w:pPr>
  </w:style>
  <w:style w:type="paragraph" w:styleId="14">
    <w:name w:val="Body Text"/>
    <w:basedOn w:val="1"/>
    <w:link w:val="90"/>
    <w:qFormat/>
    <w:uiPriority w:val="0"/>
    <w:pPr>
      <w:spacing w:after="120"/>
    </w:pPr>
  </w:style>
  <w:style w:type="paragraph" w:styleId="15">
    <w:name w:val="toc 5"/>
    <w:basedOn w:val="1"/>
    <w:next w:val="1"/>
    <w:autoRedefine/>
    <w:unhideWhenUsed/>
    <w:qFormat/>
    <w:uiPriority w:val="39"/>
    <w:pPr>
      <w:ind w:left="839"/>
    </w:pPr>
    <w:rPr>
      <w:rFonts w:ascii="宋体"/>
    </w:rPr>
  </w:style>
  <w:style w:type="paragraph" w:styleId="16">
    <w:name w:val="toc 3"/>
    <w:basedOn w:val="1"/>
    <w:next w:val="1"/>
    <w:autoRedefine/>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autoRedefine/>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spacing w:beforeAutospacing="1" w:afterAutospacing="1"/>
      <w:jc w:val="left"/>
    </w:pPr>
    <w:rPr>
      <w:kern w:val="0"/>
      <w:sz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45"/>
    <w:qFormat/>
    <w:uiPriority w:val="0"/>
    <w:pPr>
      <w:adjustRightInd/>
      <w:spacing w:line="240" w:lineRule="auto"/>
    </w:pPr>
    <w:rPr>
      <w:rFonts w:ascii="Times New Roman" w:hAnsi="Times New Roman"/>
      <w:b/>
      <w:bCs/>
      <w:szCs w:val="24"/>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basedOn w:val="31"/>
    <w:semiHidden/>
    <w:unhideWhenUsed/>
    <w:qFormat/>
    <w:uiPriority w:val="99"/>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b/>
      <w:bCs/>
      <w:kern w:val="44"/>
      <w:sz w:val="44"/>
      <w:szCs w:val="44"/>
    </w:rPr>
  </w:style>
  <w:style w:type="character" w:customStyle="1" w:styleId="39">
    <w:name w:val="标题 2 字符"/>
    <w:link w:val="3"/>
    <w:qFormat/>
    <w:uiPriority w:val="0"/>
    <w:rPr>
      <w:rFonts w:ascii="Arial" w:hAnsi="Arial" w:eastAsia="黑体"/>
      <w:b/>
      <w:bCs/>
      <w:kern w:val="2"/>
      <w:sz w:val="32"/>
      <w:szCs w:val="32"/>
    </w:rPr>
  </w:style>
  <w:style w:type="character" w:customStyle="1" w:styleId="40">
    <w:name w:val="标题 3 字符"/>
    <w:link w:val="4"/>
    <w:qFormat/>
    <w:uiPriority w:val="0"/>
    <w:rPr>
      <w:b/>
      <w:bCs/>
      <w:kern w:val="2"/>
      <w:sz w:val="32"/>
      <w:szCs w:val="32"/>
    </w:rPr>
  </w:style>
  <w:style w:type="character" w:customStyle="1" w:styleId="41">
    <w:name w:val="标题 4 字符"/>
    <w:link w:val="5"/>
    <w:qFormat/>
    <w:uiPriority w:val="0"/>
    <w:rPr>
      <w:rFonts w:ascii="Arial" w:hAnsi="Arial" w:eastAsia="黑体"/>
      <w:b/>
      <w:bCs/>
      <w:kern w:val="2"/>
      <w:sz w:val="28"/>
      <w:szCs w:val="28"/>
    </w:rPr>
  </w:style>
  <w:style w:type="character" w:customStyle="1" w:styleId="42">
    <w:name w:val="标题 5 字符"/>
    <w:link w:val="6"/>
    <w:qFormat/>
    <w:uiPriority w:val="0"/>
    <w:rPr>
      <w:b/>
      <w:bCs/>
      <w:kern w:val="2"/>
      <w:sz w:val="28"/>
      <w:szCs w:val="28"/>
    </w:rPr>
  </w:style>
  <w:style w:type="character" w:customStyle="1" w:styleId="43">
    <w:name w:val="标题 6 字符"/>
    <w:link w:val="7"/>
    <w:qFormat/>
    <w:uiPriority w:val="0"/>
    <w:rPr>
      <w:rFonts w:ascii="Arial" w:hAnsi="Arial" w:eastAsia="黑体"/>
      <w:b/>
      <w:bCs/>
      <w:kern w:val="2"/>
      <w:sz w:val="24"/>
      <w:szCs w:val="24"/>
    </w:rPr>
  </w:style>
  <w:style w:type="character" w:customStyle="1" w:styleId="44">
    <w:name w:val="标题 7 字符"/>
    <w:link w:val="8"/>
    <w:qFormat/>
    <w:uiPriority w:val="0"/>
    <w:rPr>
      <w:b/>
      <w:bCs/>
      <w:kern w:val="2"/>
      <w:sz w:val="24"/>
      <w:szCs w:val="24"/>
    </w:rPr>
  </w:style>
  <w:style w:type="character" w:customStyle="1" w:styleId="45">
    <w:name w:val="标题 8 字符"/>
    <w:link w:val="9"/>
    <w:qFormat/>
    <w:uiPriority w:val="0"/>
    <w:rPr>
      <w:rFonts w:ascii="Arial" w:hAnsi="Arial" w:eastAsia="黑体"/>
      <w:kern w:val="2"/>
      <w:sz w:val="24"/>
      <w:szCs w:val="24"/>
    </w:rPr>
  </w:style>
  <w:style w:type="character" w:customStyle="1" w:styleId="46">
    <w:name w:val="标题 9 字符"/>
    <w:link w:val="10"/>
    <w:qFormat/>
    <w:uiPriority w:val="0"/>
    <w:rPr>
      <w:rFonts w:ascii="Arial" w:hAnsi="Arial" w:eastAsia="黑体"/>
      <w:kern w:val="2"/>
      <w:sz w:val="21"/>
      <w:szCs w:val="21"/>
    </w:rPr>
  </w:style>
  <w:style w:type="character" w:customStyle="1" w:styleId="47">
    <w:name w:val="页眉 字符"/>
    <w:link w:val="19"/>
    <w:qFormat/>
    <w:uiPriority w:val="99"/>
    <w:rPr>
      <w:kern w:val="2"/>
      <w:sz w:val="18"/>
      <w:szCs w:val="18"/>
    </w:rPr>
  </w:style>
  <w:style w:type="character" w:customStyle="1" w:styleId="48">
    <w:name w:val="页脚 字符"/>
    <w:link w:val="18"/>
    <w:qFormat/>
    <w:uiPriority w:val="99"/>
    <w:rPr>
      <w:rFonts w:ascii="宋体"/>
      <w:kern w:val="2"/>
      <w:sz w:val="18"/>
      <w:szCs w:val="18"/>
    </w:rPr>
  </w:style>
  <w:style w:type="character" w:customStyle="1" w:styleId="49">
    <w:name w:val="批注框文本 字符"/>
    <w:link w:val="17"/>
    <w:semiHidden/>
    <w:qFormat/>
    <w:uiPriority w:val="99"/>
    <w:rPr>
      <w:kern w:val="2"/>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kern w:val="2"/>
      <w:sz w:val="21"/>
      <w:szCs w:val="21"/>
    </w:rPr>
  </w:style>
  <w:style w:type="character" w:customStyle="1" w:styleId="52">
    <w:name w:val="标题 字符"/>
    <w:link w:val="27"/>
    <w:qFormat/>
    <w:uiPriority w:val="0"/>
    <w:rPr>
      <w:rFonts w:ascii="Arial" w:hAnsi="Arial" w:cs="Arial"/>
      <w:b/>
      <w:bCs/>
      <w:kern w:val="2"/>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link w:val="249"/>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link w:val="251"/>
    <w:qFormat/>
    <w:uiPriority w:val="0"/>
    <w:pPr>
      <w:widowControl w:val="0"/>
      <w:numPr>
        <w:ilvl w:val="3"/>
        <w:numId w:val="2"/>
      </w:numPr>
      <w:spacing w:beforeLines="50" w:afterLines="50"/>
      <w:ind w:left="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56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kern w:val="2"/>
      <w:sz w:val="21"/>
      <w:szCs w:val="21"/>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ind w:left="0" w:firstLine="0"/>
    </w:pPr>
  </w:style>
  <w:style w:type="paragraph" w:customStyle="1" w:styleId="95">
    <w:name w:val="标准文件_目录标题"/>
    <w:basedOn w:val="1"/>
    <w:qFormat/>
    <w:uiPriority w:val="0"/>
    <w:pPr>
      <w:spacing w:before="48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kern w:val="2"/>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1"/>
    <w:link w:val="250"/>
    <w:qFormat/>
    <w:uiPriority w:val="0"/>
    <w:pPr>
      <w:numPr>
        <w:ilvl w:val="2"/>
      </w:numPr>
      <w:spacing w:beforeLines="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autoRedefine/>
    <w:semiHidden/>
    <w:qFormat/>
    <w:uiPriority w:val="0"/>
    <w:pPr>
      <w:adjustRightInd/>
      <w:spacing w:line="240" w:lineRule="auto"/>
      <w:jc w:val="left"/>
    </w:pPr>
    <w:rPr>
      <w:bCs/>
      <w:iCs/>
    </w:rPr>
  </w:style>
  <w:style w:type="paragraph" w:customStyle="1" w:styleId="147">
    <w:name w:val="目录 31"/>
    <w:basedOn w:val="1"/>
    <w:next w:val="1"/>
    <w:autoRedefine/>
    <w:semiHidden/>
    <w:qFormat/>
    <w:uiPriority w:val="0"/>
    <w:pPr>
      <w:spacing w:line="240" w:lineRule="auto"/>
    </w:pPr>
    <w:rPr>
      <w:rFonts w:ascii="宋体" w:hAnsi="宋体"/>
      <w:iCs/>
    </w:rPr>
  </w:style>
  <w:style w:type="paragraph" w:customStyle="1" w:styleId="148">
    <w:name w:val="目录 41"/>
    <w:basedOn w:val="1"/>
    <w:next w:val="1"/>
    <w:autoRedefine/>
    <w:semiHidden/>
    <w:qFormat/>
    <w:uiPriority w:val="0"/>
    <w:pPr>
      <w:adjustRightInd/>
      <w:spacing w:line="240" w:lineRule="auto"/>
      <w:jc w:val="left"/>
    </w:pPr>
  </w:style>
  <w:style w:type="paragraph" w:customStyle="1" w:styleId="149">
    <w:name w:val="目录 51"/>
    <w:basedOn w:val="1"/>
    <w:next w:val="1"/>
    <w:autoRedefine/>
    <w:semiHidden/>
    <w:qFormat/>
    <w:uiPriority w:val="0"/>
    <w:pPr>
      <w:spacing w:line="240" w:lineRule="auto"/>
    </w:pPr>
    <w:rPr>
      <w:rFonts w:ascii="宋体" w:hAnsi="宋体"/>
    </w:rPr>
  </w:style>
  <w:style w:type="paragraph" w:customStyle="1" w:styleId="150">
    <w:name w:val="目录 61"/>
    <w:basedOn w:val="1"/>
    <w:next w:val="1"/>
    <w:autoRedefine/>
    <w:semiHidden/>
    <w:qFormat/>
    <w:uiPriority w:val="0"/>
    <w:pPr>
      <w:adjustRightInd/>
      <w:spacing w:line="240" w:lineRule="auto"/>
      <w:jc w:val="left"/>
    </w:pPr>
  </w:style>
  <w:style w:type="paragraph" w:customStyle="1" w:styleId="151">
    <w:name w:val="目录 71"/>
    <w:basedOn w:val="150"/>
    <w:autoRedefine/>
    <w:semiHidden/>
    <w:qFormat/>
    <w:uiPriority w:val="0"/>
    <w:pPr>
      <w:ind w:left="1260"/>
    </w:pPr>
  </w:style>
  <w:style w:type="paragraph" w:customStyle="1" w:styleId="152">
    <w:name w:val="目录 81"/>
    <w:basedOn w:val="151"/>
    <w:autoRedefine/>
    <w:semiHidden/>
    <w:qFormat/>
    <w:uiPriority w:val="0"/>
    <w:pPr>
      <w:ind w:left="1470"/>
    </w:pPr>
  </w:style>
  <w:style w:type="paragraph" w:customStyle="1" w:styleId="153">
    <w:name w:val="目录 91"/>
    <w:basedOn w:val="152"/>
    <w:autoRedefine/>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Lines="0" w:afterLines="0"/>
      <w:outlineLvl w:val="9"/>
    </w:pPr>
    <w:rPr>
      <w:rFonts w:ascii="宋体" w:eastAsia="宋体"/>
    </w:rPr>
  </w:style>
  <w:style w:type="paragraph" w:customStyle="1" w:styleId="167">
    <w:name w:val="标准文件_五级无标题"/>
    <w:basedOn w:val="107"/>
    <w:qFormat/>
    <w:uiPriority w:val="0"/>
    <w:pPr>
      <w:spacing w:beforeLines="0" w:afterLines="0"/>
      <w:outlineLvl w:val="9"/>
    </w:pPr>
    <w:rPr>
      <w:rFonts w:ascii="宋体" w:eastAsia="宋体"/>
    </w:rPr>
  </w:style>
  <w:style w:type="paragraph" w:customStyle="1" w:styleId="168">
    <w:name w:val="标准文件_三级无标题"/>
    <w:basedOn w:val="98"/>
    <w:qFormat/>
    <w:uiPriority w:val="0"/>
    <w:pPr>
      <w:spacing w:beforeLines="0" w:afterLines="0"/>
      <w:outlineLvl w:val="9"/>
    </w:pPr>
    <w:rPr>
      <w:rFonts w:ascii="宋体" w:eastAsia="宋体"/>
    </w:rPr>
  </w:style>
  <w:style w:type="paragraph" w:customStyle="1" w:styleId="169">
    <w:name w:val="标准文件_二级无标题"/>
    <w:basedOn w:val="69"/>
    <w:qFormat/>
    <w:uiPriority w:val="0"/>
    <w:pPr>
      <w:spacing w:beforeLines="0" w:afterLines="0"/>
      <w:ind w:left="568"/>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Lines="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firstLine="0" w:firstLineChars="0"/>
    </w:pPr>
  </w:style>
  <w:style w:type="paragraph" w:customStyle="1" w:styleId="192">
    <w:name w:val="标准文件_三级项2"/>
    <w:basedOn w:val="60"/>
    <w:qFormat/>
    <w:uiPriority w:val="0"/>
    <w:pPr>
      <w:numPr>
        <w:ilvl w:val="0"/>
        <w:numId w:val="30"/>
      </w:numPr>
      <w:spacing w:line="300" w:lineRule="exact"/>
      <w:ind w:firstLineChars="0"/>
    </w:pPr>
    <w:rPr>
      <w:rFonts w:ascii="Times New Roman"/>
    </w:rPr>
  </w:style>
  <w:style w:type="paragraph" w:customStyle="1" w:styleId="193">
    <w:name w:val="标准文件_一级项2"/>
    <w:basedOn w:val="60"/>
    <w:qFormat/>
    <w:uiPriority w:val="0"/>
    <w:pPr>
      <w:numPr>
        <w:ilvl w:val="0"/>
        <w:numId w:val="31"/>
      </w:numPr>
      <w:spacing w:line="300" w:lineRule="exact"/>
      <w:ind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Lines="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Lines="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Lines="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Lines="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Lines="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Lines="0" w:afterLines="0" w:line="276" w:lineRule="auto"/>
      <w:outlineLvl w:val="9"/>
    </w:pPr>
    <w:rPr>
      <w:rFonts w:ascii="宋体" w:eastAsia="宋体"/>
    </w:rPr>
  </w:style>
  <w:style w:type="paragraph" w:customStyle="1" w:styleId="216">
    <w:name w:val="标准文件_附录二级无标题"/>
    <w:basedOn w:val="83"/>
    <w:qFormat/>
    <w:uiPriority w:val="0"/>
    <w:pPr>
      <w:spacing w:beforeLines="0" w:afterLines="0" w:line="276" w:lineRule="auto"/>
      <w:outlineLvl w:val="9"/>
    </w:pPr>
    <w:rPr>
      <w:rFonts w:ascii="宋体" w:eastAsia="宋体"/>
    </w:rPr>
  </w:style>
  <w:style w:type="paragraph" w:customStyle="1" w:styleId="217">
    <w:name w:val="标准文件_附录三级无标题"/>
    <w:basedOn w:val="85"/>
    <w:qFormat/>
    <w:uiPriority w:val="0"/>
    <w:pPr>
      <w:spacing w:beforeLines="0" w:afterLines="0" w:line="276" w:lineRule="auto"/>
      <w:outlineLvl w:val="9"/>
    </w:pPr>
    <w:rPr>
      <w:rFonts w:ascii="宋体" w:eastAsia="宋体"/>
    </w:rPr>
  </w:style>
  <w:style w:type="paragraph" w:customStyle="1" w:styleId="218">
    <w:name w:val="标准文件_附录四级无标题"/>
    <w:basedOn w:val="86"/>
    <w:qFormat/>
    <w:uiPriority w:val="0"/>
    <w:pPr>
      <w:spacing w:beforeLines="0" w:afterLines="0" w:line="276" w:lineRule="auto"/>
      <w:outlineLvl w:val="9"/>
    </w:pPr>
    <w:rPr>
      <w:rFonts w:ascii="宋体" w:eastAsia="宋体"/>
    </w:rPr>
  </w:style>
  <w:style w:type="paragraph" w:customStyle="1" w:styleId="219">
    <w:name w:val="标准文件_附录五级无标题"/>
    <w:basedOn w:val="88"/>
    <w:qFormat/>
    <w:uiPriority w:val="0"/>
    <w:pPr>
      <w:spacing w:beforeLines="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Lines="0" w:afterLines="0" w:line="276" w:lineRule="auto"/>
    </w:pPr>
    <w:rPr>
      <w:rFonts w:ascii="宋体" w:eastAsia="宋体"/>
    </w:rPr>
  </w:style>
  <w:style w:type="paragraph" w:customStyle="1" w:styleId="221">
    <w:name w:val="标准文件_引言二级无标题"/>
    <w:basedOn w:val="205"/>
    <w:next w:val="60"/>
    <w:qFormat/>
    <w:uiPriority w:val="0"/>
    <w:pPr>
      <w:spacing w:beforeLines="0" w:afterLines="0" w:line="276" w:lineRule="auto"/>
    </w:pPr>
    <w:rPr>
      <w:rFonts w:ascii="宋体" w:eastAsia="宋体"/>
    </w:rPr>
  </w:style>
  <w:style w:type="paragraph" w:customStyle="1" w:styleId="222">
    <w:name w:val="标准文件_引言三级无标题"/>
    <w:basedOn w:val="206"/>
    <w:qFormat/>
    <w:uiPriority w:val="0"/>
    <w:pPr>
      <w:spacing w:beforeLines="0" w:afterLines="0" w:line="276" w:lineRule="auto"/>
    </w:pPr>
    <w:rPr>
      <w:rFonts w:ascii="宋体" w:eastAsia="宋体"/>
    </w:rPr>
  </w:style>
  <w:style w:type="paragraph" w:customStyle="1" w:styleId="223">
    <w:name w:val="标准文件_引言四级无标题"/>
    <w:basedOn w:val="207"/>
    <w:next w:val="60"/>
    <w:qFormat/>
    <w:uiPriority w:val="0"/>
    <w:pPr>
      <w:spacing w:beforeLines="0" w:afterLines="0" w:line="276" w:lineRule="auto"/>
    </w:pPr>
    <w:rPr>
      <w:rFonts w:ascii="宋体" w:eastAsia="宋体"/>
    </w:rPr>
  </w:style>
  <w:style w:type="paragraph" w:customStyle="1" w:styleId="224">
    <w:name w:val="标准文件_引言五级无标题"/>
    <w:basedOn w:val="208"/>
    <w:next w:val="60"/>
    <w:qFormat/>
    <w:uiPriority w:val="0"/>
    <w:pPr>
      <w:spacing w:beforeLines="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paragraph" w:customStyle="1" w:styleId="234">
    <w:name w:val="段"/>
    <w:link w:val="23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35">
    <w:name w:val="段 Char"/>
    <w:link w:val="234"/>
    <w:qFormat/>
    <w:uiPriority w:val="0"/>
    <w:rPr>
      <w:rFonts w:ascii="宋体" w:hAnsi="Times New Roman"/>
      <w:sz w:val="21"/>
    </w:rPr>
  </w:style>
  <w:style w:type="paragraph" w:customStyle="1" w:styleId="236">
    <w:name w:val="附录标识"/>
    <w:basedOn w:val="1"/>
    <w:next w:val="234"/>
    <w:qFormat/>
    <w:uiPriority w:val="0"/>
    <w:pPr>
      <w:keepNext/>
      <w:widowControl/>
      <w:shd w:val="clear" w:color="FFFFFF" w:fill="FFFFFF"/>
      <w:tabs>
        <w:tab w:val="left" w:pos="6405"/>
      </w:tabs>
      <w:adjustRightInd/>
      <w:spacing w:before="640" w:after="280" w:line="240" w:lineRule="auto"/>
      <w:ind w:left="5245"/>
      <w:jc w:val="center"/>
      <w:outlineLvl w:val="0"/>
    </w:pPr>
    <w:rPr>
      <w:rFonts w:ascii="黑体" w:hAnsi="Times New Roman" w:eastAsia="黑体"/>
      <w:kern w:val="0"/>
      <w:szCs w:val="20"/>
    </w:rPr>
  </w:style>
  <w:style w:type="paragraph" w:customStyle="1" w:styleId="237">
    <w:name w:val="附录二级条标题"/>
    <w:basedOn w:val="1"/>
    <w:next w:val="234"/>
    <w:qFormat/>
    <w:uiPriority w:val="0"/>
    <w:pPr>
      <w:widowControl/>
      <w:tabs>
        <w:tab w:val="left" w:pos="360"/>
      </w:tabs>
      <w:wordWrap w:val="0"/>
      <w:overflowPunct w:val="0"/>
      <w:autoSpaceDE w:val="0"/>
      <w:autoSpaceDN w:val="0"/>
      <w:adjustRightInd/>
      <w:spacing w:beforeLines="50" w:afterLines="50" w:line="240" w:lineRule="auto"/>
      <w:textAlignment w:val="baseline"/>
      <w:outlineLvl w:val="3"/>
    </w:pPr>
    <w:rPr>
      <w:rFonts w:ascii="黑体" w:hAnsi="Times New Roman" w:eastAsia="黑体"/>
      <w:kern w:val="21"/>
      <w:szCs w:val="20"/>
    </w:rPr>
  </w:style>
  <w:style w:type="paragraph" w:customStyle="1" w:styleId="238">
    <w:name w:val="附录三级条标题"/>
    <w:basedOn w:val="237"/>
    <w:next w:val="234"/>
    <w:qFormat/>
    <w:uiPriority w:val="0"/>
    <w:pPr>
      <w:outlineLvl w:val="4"/>
    </w:pPr>
  </w:style>
  <w:style w:type="paragraph" w:customStyle="1" w:styleId="239">
    <w:name w:val="附录四级条标题"/>
    <w:basedOn w:val="238"/>
    <w:next w:val="234"/>
    <w:qFormat/>
    <w:uiPriority w:val="0"/>
    <w:pPr>
      <w:outlineLvl w:val="5"/>
    </w:pPr>
  </w:style>
  <w:style w:type="paragraph" w:customStyle="1" w:styleId="240">
    <w:name w:val="附录五级条标题"/>
    <w:basedOn w:val="239"/>
    <w:next w:val="234"/>
    <w:qFormat/>
    <w:uiPriority w:val="0"/>
    <w:pPr>
      <w:outlineLvl w:val="6"/>
    </w:pPr>
  </w:style>
  <w:style w:type="paragraph" w:customStyle="1" w:styleId="241">
    <w:name w:val="附录章标题"/>
    <w:next w:val="234"/>
    <w:qFormat/>
    <w:uiPriority w:val="0"/>
    <w:p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242">
    <w:name w:val="附录一级条标题"/>
    <w:basedOn w:val="241"/>
    <w:next w:val="234"/>
    <w:qFormat/>
    <w:uiPriority w:val="0"/>
    <w:pPr>
      <w:autoSpaceDN w:val="0"/>
      <w:spacing w:beforeLines="50" w:afterLines="50"/>
      <w:outlineLvl w:val="2"/>
    </w:pPr>
  </w:style>
  <w:style w:type="paragraph" w:customStyle="1" w:styleId="243">
    <w:name w:val="Table Paragraph"/>
    <w:basedOn w:val="1"/>
    <w:qFormat/>
    <w:uiPriority w:val="0"/>
    <w:pPr>
      <w:adjustRightInd/>
      <w:spacing w:line="240" w:lineRule="auto"/>
    </w:pPr>
    <w:rPr>
      <w:rFonts w:ascii="宋体" w:hAnsi="宋体" w:cs="宋体"/>
      <w:szCs w:val="22"/>
      <w:lang w:val="zh-CN" w:bidi="zh-CN"/>
    </w:rPr>
  </w:style>
  <w:style w:type="character" w:customStyle="1" w:styleId="244">
    <w:name w:val="批注文字 字符"/>
    <w:basedOn w:val="31"/>
    <w:link w:val="13"/>
    <w:semiHidden/>
    <w:qFormat/>
    <w:uiPriority w:val="99"/>
    <w:rPr>
      <w:kern w:val="2"/>
      <w:sz w:val="21"/>
      <w:szCs w:val="21"/>
    </w:rPr>
  </w:style>
  <w:style w:type="character" w:customStyle="1" w:styleId="245">
    <w:name w:val="批注主题 字符"/>
    <w:basedOn w:val="244"/>
    <w:link w:val="28"/>
    <w:qFormat/>
    <w:uiPriority w:val="0"/>
    <w:rPr>
      <w:rFonts w:ascii="Times New Roman" w:hAnsi="Times New Roman"/>
      <w:b/>
      <w:bCs/>
      <w:kern w:val="2"/>
      <w:sz w:val="21"/>
      <w:szCs w:val="24"/>
    </w:rPr>
  </w:style>
  <w:style w:type="character" w:customStyle="1" w:styleId="246">
    <w:name w:val="一级条标题 Char Char"/>
    <w:link w:val="247"/>
    <w:qFormat/>
    <w:uiPriority w:val="0"/>
    <w:rPr>
      <w:rFonts w:ascii="黑体" w:hAnsi="黑体" w:eastAsia="黑体"/>
      <w:sz w:val="21"/>
      <w:szCs w:val="21"/>
    </w:rPr>
  </w:style>
  <w:style w:type="paragraph" w:customStyle="1" w:styleId="247">
    <w:name w:val="一级条标题"/>
    <w:next w:val="234"/>
    <w:link w:val="246"/>
    <w:qFormat/>
    <w:uiPriority w:val="0"/>
    <w:pPr>
      <w:numPr>
        <w:ilvl w:val="1"/>
        <w:numId w:val="32"/>
      </w:numPr>
      <w:spacing w:beforeLines="50" w:afterLines="50"/>
      <w:outlineLvl w:val="2"/>
    </w:pPr>
    <w:rPr>
      <w:rFonts w:ascii="黑体" w:hAnsi="黑体" w:eastAsia="黑体" w:cs="Times New Roman"/>
      <w:sz w:val="21"/>
      <w:szCs w:val="21"/>
      <w:lang w:val="en-US" w:eastAsia="zh-CN" w:bidi="ar-SA"/>
    </w:rPr>
  </w:style>
  <w:style w:type="paragraph" w:customStyle="1" w:styleId="248">
    <w:name w:val="正文公式编号制表符"/>
    <w:basedOn w:val="234"/>
    <w:next w:val="234"/>
    <w:qFormat/>
    <w:uiPriority w:val="0"/>
    <w:pPr>
      <w:spacing w:before="100" w:beforeAutospacing="1" w:after="100" w:afterAutospacing="1"/>
      <w:ind w:firstLine="0" w:firstLineChars="0"/>
    </w:pPr>
    <w:rPr>
      <w:rFonts w:ascii="黑体" w:hAnsi="黑体" w:eastAsia="黑体"/>
    </w:rPr>
  </w:style>
  <w:style w:type="character" w:customStyle="1" w:styleId="249">
    <w:name w:val="标准文件_标准正文 Char"/>
    <w:link w:val="59"/>
    <w:qFormat/>
    <w:uiPriority w:val="0"/>
    <w:rPr>
      <w:kern w:val="0"/>
    </w:rPr>
  </w:style>
  <w:style w:type="character" w:customStyle="1" w:styleId="250">
    <w:name w:val="标准文件_一级条标题 Char"/>
    <w:link w:val="109"/>
    <w:qFormat/>
    <w:uiPriority w:val="0"/>
  </w:style>
  <w:style w:type="character" w:customStyle="1" w:styleId="251">
    <w:name w:val="标准文件_二级条标题 Char"/>
    <w:link w:val="69"/>
    <w:qFormat/>
    <w:uiPriority w:val="0"/>
    <w:rPr>
      <w:rFonts w:ascii="黑体" w:hAnsi="Times New Roman" w:eastAsia="黑体" w:cs="Times New Roman"/>
      <w:sz w:val="21"/>
      <w:lang w:val="en-US" w:eastAsia="zh-CN" w:bidi="ar-SA"/>
    </w:rPr>
  </w:style>
  <w:style w:type="paragraph" w:customStyle="1" w:styleId="252">
    <w:name w:val="Revision"/>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jpe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48FD49CB85F426BB4D6A59A0CD788FF"/>
        <w:style w:val=""/>
        <w:category>
          <w:name w:val="常规"/>
          <w:gallery w:val="placeholder"/>
        </w:category>
        <w:types>
          <w:type w:val="bbPlcHdr"/>
        </w:types>
        <w:behaviors>
          <w:behavior w:val="content"/>
        </w:behaviors>
        <w:description w:val=""/>
        <w:guid w:val="{756117FA-7F1D-421D-8E4A-6C0B4FD9287E}"/>
      </w:docPartPr>
      <w:docPartBody>
        <w:p w14:paraId="559A4F14">
          <w:pPr>
            <w:pStyle w:val="5"/>
            <w:rPr>
              <w:rFonts w:hint="eastAsia"/>
            </w:rPr>
          </w:pPr>
          <w:r>
            <w:rPr>
              <w:rStyle w:val="4"/>
              <w:rFonts w:hint="eastAsia"/>
            </w:rPr>
            <w:t>单击或点击此处输入文字。</w:t>
          </w:r>
        </w:p>
      </w:docPartBody>
    </w:docPart>
    <w:docPart>
      <w:docPartPr>
        <w:name w:val="7E1ACE23BA4749089784EFF7C87B9205"/>
        <w:style w:val=""/>
        <w:category>
          <w:name w:val="常规"/>
          <w:gallery w:val="placeholder"/>
        </w:category>
        <w:types>
          <w:type w:val="bbPlcHdr"/>
        </w:types>
        <w:behaviors>
          <w:behavior w:val="content"/>
        </w:behaviors>
        <w:description w:val=""/>
        <w:guid w:val="{5F80D22C-599C-4C64-B72D-667DE331B1BC}"/>
      </w:docPartPr>
      <w:docPartBody>
        <w:p w14:paraId="3630FC45">
          <w:pPr>
            <w:pStyle w:val="6"/>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0B4D27"/>
    <w:rsid w:val="000801C7"/>
    <w:rsid w:val="000B4D27"/>
    <w:rsid w:val="0014672B"/>
    <w:rsid w:val="00197E3A"/>
    <w:rsid w:val="002D147F"/>
    <w:rsid w:val="002D45BF"/>
    <w:rsid w:val="003117E9"/>
    <w:rsid w:val="00355133"/>
    <w:rsid w:val="003C659E"/>
    <w:rsid w:val="003D5A43"/>
    <w:rsid w:val="00446C1B"/>
    <w:rsid w:val="00455F74"/>
    <w:rsid w:val="00535D0C"/>
    <w:rsid w:val="006121F7"/>
    <w:rsid w:val="006C3528"/>
    <w:rsid w:val="006D60B2"/>
    <w:rsid w:val="00777DF6"/>
    <w:rsid w:val="007E0CE3"/>
    <w:rsid w:val="008A541D"/>
    <w:rsid w:val="008F7DF0"/>
    <w:rsid w:val="00937062"/>
    <w:rsid w:val="00A26B0A"/>
    <w:rsid w:val="00AA215A"/>
    <w:rsid w:val="00AC1F06"/>
    <w:rsid w:val="00AE5485"/>
    <w:rsid w:val="00AF64A9"/>
    <w:rsid w:val="00B921FB"/>
    <w:rsid w:val="00C70D69"/>
    <w:rsid w:val="00D30FAA"/>
    <w:rsid w:val="00D80C16"/>
    <w:rsid w:val="00E27C1E"/>
    <w:rsid w:val="00E72B52"/>
    <w:rsid w:val="00F07B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648FD49CB85F426BB4D6A59A0CD788F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E1ACE23BA4749089784EFF7C87B920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6F7B1619A4074687BB7CB5A070B3E875"/>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90F85B-9DA4-4A06-9A33-D67A48A239C4}">
  <ds:schemaRefs/>
</ds:datastoreItem>
</file>

<file path=docProps/app.xml><?xml version="1.0" encoding="utf-8"?>
<Properties xmlns="http://schemas.openxmlformats.org/officeDocument/2006/extended-properties" xmlns:vt="http://schemas.openxmlformats.org/officeDocument/2006/docPropsVTypes">
  <Template>Normal</Template>
  <Company>PCMI</Company>
  <Pages>10</Pages>
  <Words>2748</Words>
  <Characters>3546</Characters>
  <Lines>253</Lines>
  <Paragraphs>331</Paragraphs>
  <TotalTime>3</TotalTime>
  <ScaleCrop>false</ScaleCrop>
  <LinksUpToDate>false</LinksUpToDate>
  <CharactersWithSpaces>5963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2023-11-02T07:31:00Z</dcterms:created>
  <dc:creator>Lenovo</dc:creator>
  <dc:description>&lt;config cover="true" show_menu="true" version="1.0.0" doctype="SDKXY"&gt;_x000d_
&lt;/config&gt;</dc:description>
  <cp:lastModifiedBy>greatwall</cp:lastModifiedBy>
  <cp:lastPrinted>2021-02-11T08:22:00Z</cp:lastPrinted>
  <dcterms:modified xsi:type="dcterms:W3CDTF">2026-10-09T09:32:14Z</dcterms:modified>
  <dc:title>团体标准</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2052-12.1.2.23578</vt:lpwstr>
  </property>
  <property fmtid="{D5CDD505-2E9C-101B-9397-08002B2CF9AE}" pid="15" name="ICV">
    <vt:lpwstr>455C8366BE03FAE38A40C86A33292F95_43</vt:lpwstr>
  </property>
</Properties>
</file>