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s="黑体"/>
          <w:sz w:val="44"/>
          <w:szCs w:val="44"/>
        </w:rPr>
      </w:pPr>
      <w:r>
        <w:rPr>
          <w:rFonts w:hint="eastAsia" w:ascii="黑体" w:hAnsi="黑体" w:eastAsia="黑体" w:cs="黑体"/>
          <w:sz w:val="44"/>
          <w:szCs w:val="44"/>
        </w:rPr>
        <w:t>关于大连地区新收获粮食</w:t>
      </w:r>
      <w:r>
        <w:rPr>
          <w:rFonts w:hint="eastAsia" w:ascii="黑体" w:hAnsi="黑体" w:eastAsia="黑体" w:cs="黑体"/>
          <w:sz w:val="44"/>
          <w:szCs w:val="44"/>
          <w:lang w:val="en-US" w:eastAsia="zh-CN"/>
        </w:rPr>
        <w:t>储粮现状及</w:t>
      </w:r>
      <w:r>
        <w:rPr>
          <w:rFonts w:hint="eastAsia" w:ascii="黑体" w:hAnsi="黑体" w:eastAsia="黑体" w:cs="黑体"/>
          <w:sz w:val="44"/>
          <w:szCs w:val="44"/>
        </w:rPr>
        <w:t>安全</w:t>
      </w:r>
      <w:r>
        <w:rPr>
          <w:rFonts w:hint="eastAsia" w:ascii="黑体" w:hAnsi="黑体" w:eastAsia="黑体" w:cs="黑体"/>
          <w:sz w:val="44"/>
          <w:szCs w:val="44"/>
          <w:lang w:val="en-US" w:eastAsia="zh-CN"/>
        </w:rPr>
        <w:t>隐患调研的</w:t>
      </w:r>
      <w:r>
        <w:rPr>
          <w:rFonts w:hint="eastAsia" w:ascii="黑体" w:hAnsi="黑体" w:eastAsia="黑体" w:cs="黑体"/>
          <w:sz w:val="44"/>
          <w:szCs w:val="44"/>
        </w:rPr>
        <w:t>情况汇报</w:t>
      </w:r>
    </w:p>
    <w:p>
      <w:pPr>
        <w:rPr>
          <w:rFonts w:hint="eastAsia" w:ascii="仿宋" w:hAnsi="仿宋" w:eastAsia="仿宋" w:cs="仿宋"/>
          <w:sz w:val="32"/>
          <w:szCs w:val="32"/>
        </w:rPr>
      </w:pPr>
    </w:p>
    <w:p>
      <w:pPr>
        <w:rPr>
          <w:rFonts w:hint="eastAsia" w:ascii="仿宋" w:hAnsi="仿宋" w:eastAsia="仿宋" w:cs="仿宋"/>
          <w:sz w:val="32"/>
          <w:szCs w:val="32"/>
        </w:rPr>
      </w:pPr>
      <w:r>
        <w:rPr>
          <w:rFonts w:hint="eastAsia" w:ascii="仿宋" w:hAnsi="仿宋" w:eastAsia="仿宋" w:cs="仿宋"/>
          <w:sz w:val="32"/>
          <w:szCs w:val="32"/>
          <w:lang w:val="en-US" w:eastAsia="zh-CN"/>
        </w:rPr>
        <w:t>辽宁省粮食行业协</w:t>
      </w:r>
      <w:r>
        <w:rPr>
          <w:rFonts w:hint="eastAsia" w:ascii="仿宋" w:hAnsi="仿宋" w:eastAsia="仿宋" w:cs="仿宋"/>
          <w:sz w:val="32"/>
          <w:szCs w:val="32"/>
        </w:rPr>
        <w:t>会：</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根据辽宁省</w:t>
      </w:r>
      <w:r>
        <w:rPr>
          <w:rFonts w:hint="eastAsia" w:ascii="仿宋" w:hAnsi="仿宋" w:eastAsia="仿宋" w:cs="仿宋"/>
          <w:sz w:val="32"/>
          <w:szCs w:val="32"/>
          <w:lang w:val="en-US" w:eastAsia="zh-CN"/>
        </w:rPr>
        <w:t>粮食行业协会</w:t>
      </w:r>
      <w:r>
        <w:rPr>
          <w:rFonts w:hint="eastAsia" w:ascii="仿宋" w:hAnsi="仿宋" w:eastAsia="仿宋" w:cs="仿宋"/>
          <w:sz w:val="32"/>
          <w:szCs w:val="32"/>
        </w:rPr>
        <w:t>《关于</w:t>
      </w:r>
      <w:r>
        <w:rPr>
          <w:rFonts w:hint="eastAsia" w:ascii="仿宋" w:hAnsi="仿宋" w:eastAsia="仿宋" w:cs="仿宋"/>
          <w:sz w:val="32"/>
          <w:szCs w:val="32"/>
          <w:lang w:val="en-US" w:eastAsia="zh-CN"/>
        </w:rPr>
        <w:t>深入农户</w:t>
      </w:r>
      <w:r>
        <w:rPr>
          <w:rFonts w:hint="eastAsia" w:ascii="仿宋" w:hAnsi="仿宋" w:eastAsia="仿宋" w:cs="仿宋"/>
          <w:sz w:val="32"/>
          <w:szCs w:val="32"/>
        </w:rPr>
        <w:t>开展</w:t>
      </w:r>
      <w:r>
        <w:rPr>
          <w:rFonts w:hint="eastAsia" w:ascii="仿宋" w:hAnsi="仿宋" w:eastAsia="仿宋" w:cs="仿宋"/>
          <w:sz w:val="32"/>
          <w:szCs w:val="32"/>
          <w:lang w:val="en-US" w:eastAsia="zh-CN"/>
        </w:rPr>
        <w:t>储粮现状及安全隐患调研的函</w:t>
      </w:r>
      <w:r>
        <w:rPr>
          <w:rFonts w:hint="eastAsia" w:ascii="仿宋" w:hAnsi="仿宋" w:eastAsia="仿宋" w:cs="仿宋"/>
          <w:sz w:val="32"/>
          <w:szCs w:val="32"/>
        </w:rPr>
        <w:t>》文件，我院高度重视，</w:t>
      </w:r>
      <w:bookmarkStart w:id="0" w:name="_GoBack"/>
      <w:bookmarkEnd w:id="0"/>
      <w:r>
        <w:rPr>
          <w:rFonts w:hint="eastAsia" w:ascii="仿宋" w:hAnsi="仿宋" w:eastAsia="仿宋" w:cs="仿宋"/>
          <w:sz w:val="32"/>
          <w:szCs w:val="32"/>
        </w:rPr>
        <w:t>立即研究部署此次工作任务。考虑到11月4日以来因突发新冠肺炎疫情的新防控形势下工作人员无特殊情况不予外出的通知，确定以刚刚完成的质量调查、品质测评与安全监测工作为切入点对部分种粮大户进行电话回访，并结合前期开展的玉米受灾质量安全情况调查工作，综合汇报如下：</w:t>
      </w:r>
    </w:p>
    <w:p>
      <w:pPr>
        <w:ind w:firstLine="643" w:firstLineChars="200"/>
        <w:rPr>
          <w:rFonts w:hint="eastAsia" w:ascii="仿宋" w:hAnsi="仿宋" w:eastAsia="仿宋" w:cs="仿宋"/>
          <w:b/>
          <w:sz w:val="32"/>
          <w:szCs w:val="32"/>
        </w:rPr>
      </w:pPr>
      <w:r>
        <w:rPr>
          <w:rFonts w:hint="eastAsia" w:ascii="仿宋" w:hAnsi="仿宋" w:eastAsia="仿宋" w:cs="仿宋"/>
          <w:b/>
          <w:sz w:val="32"/>
          <w:szCs w:val="32"/>
        </w:rPr>
        <w:t>一、未受11月初极端降雪天气影响</w:t>
      </w:r>
    </w:p>
    <w:p>
      <w:pPr>
        <w:ind w:firstLine="640" w:firstLineChars="200"/>
        <w:rPr>
          <w:rFonts w:hint="eastAsia" w:ascii="仿宋" w:hAnsi="仿宋" w:eastAsia="仿宋"/>
          <w:sz w:val="32"/>
          <w:szCs w:val="32"/>
        </w:rPr>
      </w:pPr>
      <w:r>
        <w:rPr>
          <w:rFonts w:hint="eastAsia" w:ascii="仿宋" w:hAnsi="仿宋" w:eastAsia="仿宋"/>
          <w:sz w:val="32"/>
          <w:szCs w:val="32"/>
        </w:rPr>
        <w:t>经电话回访了解，大连地区农户未受到此次东北地区极端降雪天气的影响，没有未收获粮食被大雪困在农田。</w:t>
      </w:r>
      <w:r>
        <w:rPr>
          <w:rFonts w:hint="eastAsia" w:ascii="仿宋" w:hAnsi="仿宋" w:eastAsia="仿宋" w:cs="仿宋"/>
          <w:sz w:val="32"/>
          <w:szCs w:val="32"/>
        </w:rPr>
        <w:t>共调查涉粮主产区瓦房店、普兰店玉米种植面积较大的农户26户，质量安全情况未发生太大变化，基本与质量调查期间结果相同。指导农户</w:t>
      </w:r>
      <w:r>
        <w:rPr>
          <w:rFonts w:hint="eastAsia" w:ascii="仿宋" w:hAnsi="仿宋" w:eastAsia="仿宋"/>
          <w:sz w:val="32"/>
          <w:szCs w:val="32"/>
        </w:rPr>
        <w:t>适时进行翻倒、整晒、通风、降水等技术，为农民产后减少损失。引导农户理性看待粮食价格波动，根据市场情况适时售粮，纾解展售的心态。</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庄河地区因疫情突发管控更为严格，无法开展此项工作。</w:t>
      </w:r>
    </w:p>
    <w:p>
      <w:pPr>
        <w:ind w:firstLine="643" w:firstLineChars="200"/>
        <w:rPr>
          <w:rFonts w:ascii="仿宋" w:hAnsi="仿宋" w:eastAsia="仿宋" w:cs="仿宋"/>
          <w:b/>
          <w:sz w:val="32"/>
          <w:szCs w:val="32"/>
        </w:rPr>
      </w:pPr>
      <w:r>
        <w:rPr>
          <w:rFonts w:hint="eastAsia" w:ascii="仿宋" w:hAnsi="仿宋" w:eastAsia="仿宋" w:cs="仿宋"/>
          <w:b/>
          <w:sz w:val="32"/>
          <w:szCs w:val="32"/>
        </w:rPr>
        <w:t>二、受9月下旬强降水天气影响情况</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10月15日至20日，对辖区内4个区市县，13个乡镇玉米质量安全情况进行调查了解，并抽取部分玉米样品进行真菌毒素筛查。</w:t>
      </w:r>
    </w:p>
    <w:p>
      <w:pPr>
        <w:ind w:firstLine="643" w:firstLineChars="200"/>
        <w:rPr>
          <w:rFonts w:hint="eastAsia" w:ascii="仿宋" w:hAnsi="仿宋" w:eastAsia="仿宋" w:cs="仿宋"/>
          <w:sz w:val="32"/>
          <w:szCs w:val="32"/>
        </w:rPr>
      </w:pPr>
      <w:r>
        <w:rPr>
          <w:rFonts w:hint="eastAsia" w:ascii="仿宋" w:hAnsi="仿宋" w:eastAsia="仿宋" w:cs="仿宋"/>
          <w:b/>
          <w:sz w:val="32"/>
          <w:szCs w:val="32"/>
        </w:rPr>
        <w:t>（1）质量情况。</w:t>
      </w:r>
      <w:r>
        <w:rPr>
          <w:rFonts w:hint="eastAsia" w:ascii="仿宋" w:hAnsi="仿宋" w:eastAsia="仿宋" w:cs="仿宋"/>
          <w:sz w:val="32"/>
          <w:szCs w:val="32"/>
        </w:rPr>
        <w:t>2021年玉米棒长势较好，玉米容重值普遍增加，容重值绝大多数超过730g/L。新收获玉米原始水分值较高，能达到33.0%左右，最高值有40.0%。由于收获时节雨水多，又有风灾，导致部分地区低洼地玉米倒伏泡水，泡水玉米棒顶端有较多的生霉粒、生芽粒产生，使得玉米的生霉粒、病斑粒、生芽粒含量较往年有不同程度增加。</w:t>
      </w:r>
    </w:p>
    <w:p>
      <w:pPr>
        <w:ind w:firstLine="643" w:firstLineChars="200"/>
        <w:rPr>
          <w:rFonts w:hint="eastAsia" w:ascii="仿宋" w:hAnsi="仿宋" w:eastAsia="仿宋" w:cs="仿宋"/>
          <w:sz w:val="32"/>
          <w:szCs w:val="32"/>
        </w:rPr>
      </w:pPr>
      <w:r>
        <w:rPr>
          <w:rFonts w:hint="eastAsia" w:ascii="仿宋" w:hAnsi="仿宋" w:eastAsia="仿宋" w:cs="仿宋"/>
          <w:b/>
          <w:sz w:val="32"/>
          <w:szCs w:val="32"/>
        </w:rPr>
        <w:t>（2）受灾情况。</w:t>
      </w:r>
      <w:r>
        <w:rPr>
          <w:rFonts w:hint="eastAsia" w:ascii="仿宋" w:hAnsi="仿宋" w:eastAsia="仿宋" w:cs="仿宋"/>
          <w:sz w:val="32"/>
          <w:szCs w:val="32"/>
        </w:rPr>
        <w:t>2021年玉米收获季节发生连阴雨天，部分县区还受大风、冰雹等强对流天气侵扰，导致部分低洼地玉米倒伏泡水，玉米棒在玉米地里发霉、生芽。另外，玉米收获完毕进行晾晒期间，天气情况依旧阴雨天，无法及时晾晒，使玉米生霉、生芽、病斑粒较多，容易导致部分玉米真菌毒素指标超标。虽然今年玉米在收获期受到阴雨天影响，但总体来看，玉米在生长期，光照时间长、降水充足，普遍玉米棒籽粒饱满、长势喜人，预计今年玉米总产量应当好于去年。</w:t>
      </w:r>
    </w:p>
    <w:p>
      <w:pPr>
        <w:ind w:firstLine="643" w:firstLineChars="200"/>
        <w:rPr>
          <w:rFonts w:hint="eastAsia" w:ascii="仿宋" w:hAnsi="仿宋" w:eastAsia="仿宋" w:cs="仿宋"/>
          <w:sz w:val="32"/>
          <w:szCs w:val="32"/>
        </w:rPr>
      </w:pPr>
      <w:r>
        <w:rPr>
          <w:rFonts w:hint="eastAsia" w:ascii="仿宋" w:hAnsi="仿宋" w:eastAsia="仿宋" w:cs="仿宋"/>
          <w:b/>
          <w:sz w:val="32"/>
          <w:szCs w:val="32"/>
        </w:rPr>
        <w:t>（3）真菌毒素情况。</w:t>
      </w:r>
      <w:r>
        <w:rPr>
          <w:rFonts w:hint="eastAsia" w:ascii="仿宋" w:hAnsi="仿宋" w:eastAsia="仿宋" w:cs="仿宋"/>
          <w:sz w:val="32"/>
          <w:szCs w:val="32"/>
        </w:rPr>
        <w:t>抽取瓦房店19份、普兰店28份、庄河14份、金州区3份共64份玉米样品进行真菌毒素快检筛查。经初步筛查，呕吐毒素超标3个，超标率4.6%，超标水平在国标限量（1000ug/Kg）的2倍之内。玉米赤霉烯酮超标9个，超标率14%，超标水平在国标限量（60ug/Kg）的3倍之内。黄曲霉毒素B1检测值水平在0-2ug/Kg之间，未发现超出国标限量（20ug/Kg）的样品。</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附：受9月份强降水影响的相关玉米图片</w:t>
      </w:r>
    </w:p>
    <w:p>
      <w:pPr>
        <w:ind w:firstLine="640" w:firstLineChars="200"/>
        <w:rPr>
          <w:rFonts w:hint="eastAsia" w:ascii="仿宋" w:hAnsi="仿宋" w:eastAsia="仿宋" w:cs="仿宋"/>
          <w:sz w:val="32"/>
          <w:szCs w:val="32"/>
        </w:rPr>
      </w:pPr>
    </w:p>
    <w:p>
      <w:pPr>
        <w:ind w:firstLine="3840" w:firstLineChars="1200"/>
        <w:rPr>
          <w:rFonts w:hint="eastAsia" w:ascii="仿宋" w:hAnsi="仿宋" w:eastAsia="仿宋" w:cs="仿宋"/>
          <w:sz w:val="32"/>
          <w:szCs w:val="32"/>
        </w:rPr>
      </w:pPr>
      <w:r>
        <w:rPr>
          <w:rFonts w:hint="eastAsia" w:ascii="仿宋" w:hAnsi="仿宋" w:eastAsia="仿宋" w:cs="仿宋"/>
          <w:sz w:val="32"/>
          <w:szCs w:val="32"/>
        </w:rPr>
        <w:t>大连市粮油检验检测院</w:t>
      </w:r>
    </w:p>
    <w:p>
      <w:pPr>
        <w:ind w:firstLine="4480" w:firstLineChars="1400"/>
        <w:rPr>
          <w:rFonts w:hint="eastAsia" w:ascii="仿宋" w:hAnsi="仿宋" w:eastAsia="仿宋" w:cs="仿宋"/>
          <w:sz w:val="32"/>
          <w:szCs w:val="32"/>
        </w:rPr>
      </w:pPr>
      <w:r>
        <w:rPr>
          <w:rFonts w:hint="eastAsia" w:ascii="仿宋" w:hAnsi="仿宋" w:eastAsia="仿宋" w:cs="仿宋"/>
          <w:sz w:val="32"/>
          <w:szCs w:val="32"/>
        </w:rPr>
        <w:t>2021年11月</w:t>
      </w:r>
      <w:r>
        <w:rPr>
          <w:rFonts w:hint="eastAsia" w:ascii="仿宋" w:hAnsi="仿宋" w:eastAsia="仿宋" w:cs="仿宋"/>
          <w:sz w:val="32"/>
          <w:szCs w:val="32"/>
          <w:lang w:val="en-US" w:eastAsia="zh-CN"/>
        </w:rPr>
        <w:t>25</w:t>
      </w:r>
      <w:r>
        <w:rPr>
          <w:rFonts w:hint="eastAsia" w:ascii="仿宋" w:hAnsi="仿宋" w:eastAsia="仿宋" w:cs="仿宋"/>
          <w:sz w:val="32"/>
          <w:szCs w:val="32"/>
        </w:rPr>
        <w:t>日</w:t>
      </w:r>
    </w:p>
    <w:p>
      <w:pPr>
        <w:ind w:firstLine="4480" w:firstLineChars="1400"/>
        <w:rPr>
          <w:rFonts w:hint="eastAsia" w:ascii="仿宋" w:hAnsi="仿宋" w:eastAsia="仿宋" w:cs="仿宋"/>
          <w:sz w:val="32"/>
          <w:szCs w:val="32"/>
        </w:rPr>
      </w:pPr>
    </w:p>
    <w:p>
      <w:pPr>
        <w:ind w:firstLine="640" w:firstLineChars="200"/>
        <w:rPr>
          <w:sz w:val="32"/>
          <w:szCs w:val="32"/>
        </w:rPr>
      </w:pPr>
      <w:r>
        <w:rPr>
          <w:sz w:val="32"/>
          <w:szCs w:val="32"/>
        </w:rPr>
        <w:drawing>
          <wp:inline distT="0" distB="0" distL="0" distR="0">
            <wp:extent cx="4248150" cy="3181350"/>
            <wp:effectExtent l="19050" t="0" r="0" b="0"/>
            <wp:docPr id="1" name="图片 1" descr="C:/Users/Dell/AppData/Local/Temp/picturecompress_2021102112112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Dell/AppData/Local/Temp/picturecompress_20211021121126/output_1.jpgoutput_1"/>
                    <pic:cNvPicPr>
                      <a:picLocks noChangeAspect="1" noChangeArrowheads="1"/>
                    </pic:cNvPicPr>
                  </pic:nvPicPr>
                  <pic:blipFill>
                    <a:blip r:embed="rId4" cstate="print"/>
                    <a:srcRect/>
                    <a:stretch>
                      <a:fillRect/>
                    </a:stretch>
                  </pic:blipFill>
                  <pic:spPr>
                    <a:xfrm>
                      <a:off x="0" y="0"/>
                      <a:ext cx="4248150" cy="3181350"/>
                    </a:xfrm>
                    <a:prstGeom prst="rect">
                      <a:avLst/>
                    </a:prstGeom>
                    <a:noFill/>
                    <a:ln w="9525">
                      <a:noFill/>
                      <a:miter lim="800000"/>
                      <a:headEnd/>
                      <a:tailEnd/>
                    </a:ln>
                  </pic:spPr>
                </pic:pic>
              </a:graphicData>
            </a:graphic>
          </wp:inline>
        </w:drawing>
      </w:r>
    </w:p>
    <w:p>
      <w:pPr>
        <w:ind w:firstLine="640" w:firstLineChars="200"/>
        <w:rPr>
          <w:sz w:val="32"/>
          <w:szCs w:val="32"/>
        </w:rPr>
      </w:pPr>
    </w:p>
    <w:p>
      <w:pPr>
        <w:jc w:val="center"/>
      </w:pPr>
      <w:r>
        <w:drawing>
          <wp:inline distT="0" distB="0" distL="0" distR="0">
            <wp:extent cx="4362450" cy="3270250"/>
            <wp:effectExtent l="19050" t="0" r="0" b="0"/>
            <wp:docPr id="2" name="图片 2" descr="C:/Users/Dell/AppData/Local/Temp/picturecompress_2021102112115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Dell/AppData/Local/Temp/picturecompress_20211021121156/output_1.jpgoutput_1"/>
                    <pic:cNvPicPr>
                      <a:picLocks noChangeAspect="1" noChangeArrowheads="1"/>
                    </pic:cNvPicPr>
                  </pic:nvPicPr>
                  <pic:blipFill>
                    <a:blip r:embed="rId5" cstate="print"/>
                    <a:srcRect/>
                    <a:stretch>
                      <a:fillRect/>
                    </a:stretch>
                  </pic:blipFill>
                  <pic:spPr>
                    <a:xfrm>
                      <a:off x="0" y="0"/>
                      <a:ext cx="4362450" cy="3270250"/>
                    </a:xfrm>
                    <a:prstGeom prst="rect">
                      <a:avLst/>
                    </a:prstGeom>
                    <a:noFill/>
                    <a:ln w="9525">
                      <a:noFill/>
                      <a:miter lim="800000"/>
                      <a:headEnd/>
                      <a:tailEnd/>
                    </a:ln>
                  </pic:spPr>
                </pic:pic>
              </a:graphicData>
            </a:graphic>
          </wp:inline>
        </w:drawing>
      </w:r>
    </w:p>
    <w:p>
      <w:pPr>
        <w:jc w:val="center"/>
      </w:pPr>
    </w:p>
    <w:p>
      <w:pPr>
        <w:jc w:val="center"/>
        <w:rPr>
          <w:rFonts w:ascii="宋体" w:hAnsi="宋体" w:eastAsia="宋体" w:cs="宋体"/>
          <w:sz w:val="24"/>
        </w:rPr>
      </w:pPr>
      <w:r>
        <w:rPr>
          <w:rFonts w:ascii="宋体" w:hAnsi="宋体" w:eastAsia="宋体" w:cs="宋体"/>
          <w:sz w:val="24"/>
        </w:rPr>
        <w:drawing>
          <wp:inline distT="0" distB="0" distL="0" distR="0">
            <wp:extent cx="4318000" cy="3238500"/>
            <wp:effectExtent l="19050" t="0" r="6350" b="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noChangeArrowheads="1"/>
                    </pic:cNvPicPr>
                  </pic:nvPicPr>
                  <pic:blipFill>
                    <a:blip r:embed="rId6" cstate="print"/>
                    <a:srcRect/>
                    <a:stretch>
                      <a:fillRect/>
                    </a:stretch>
                  </pic:blipFill>
                  <pic:spPr>
                    <a:xfrm>
                      <a:off x="0" y="0"/>
                      <a:ext cx="4318000" cy="3238500"/>
                    </a:xfrm>
                    <a:prstGeom prst="rect">
                      <a:avLst/>
                    </a:prstGeom>
                    <a:noFill/>
                    <a:ln w="9525">
                      <a:noFill/>
                      <a:miter lim="800000"/>
                      <a:headEnd/>
                      <a:tailEnd/>
                    </a:ln>
                    <a:effectLst/>
                  </pic:spPr>
                </pic:pic>
              </a:graphicData>
            </a:graphic>
          </wp:inline>
        </w:drawing>
      </w:r>
    </w:p>
    <w:p>
      <w:pPr>
        <w:jc w:val="center"/>
        <w:rPr>
          <w:rFonts w:ascii="宋体" w:hAnsi="宋体" w:eastAsia="宋体" w:cs="宋体"/>
          <w:sz w:val="24"/>
        </w:rPr>
      </w:pPr>
    </w:p>
    <w:p>
      <w:pPr>
        <w:wordWrap w:val="0"/>
        <w:ind w:firstLine="640" w:firstLineChars="200"/>
        <w:jc w:val="right"/>
        <w:rPr>
          <w:rFonts w:ascii="仿宋" w:hAnsi="仿宋" w:eastAsia="仿宋"/>
          <w:sz w:val="32"/>
          <w:szCs w:val="32"/>
        </w:rPr>
      </w:pPr>
      <w:r>
        <w:rPr>
          <w:rFonts w:hint="eastAsia" w:ascii="仿宋" w:hAnsi="仿宋" w:eastAsia="仿宋"/>
          <w:sz w:val="32"/>
          <w:szCs w:val="32"/>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63940B06"/>
    <w:rsid w:val="00055F87"/>
    <w:rsid w:val="00096194"/>
    <w:rsid w:val="00384371"/>
    <w:rsid w:val="00397417"/>
    <w:rsid w:val="00500AB8"/>
    <w:rsid w:val="00672DE4"/>
    <w:rsid w:val="0071061B"/>
    <w:rsid w:val="00C121FC"/>
    <w:rsid w:val="00D667BD"/>
    <w:rsid w:val="00FA7173"/>
    <w:rsid w:val="25214C14"/>
    <w:rsid w:val="39B8267A"/>
    <w:rsid w:val="63940B06"/>
    <w:rsid w:val="765E36F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uiPriority w:val="0"/>
    <w:rPr>
      <w:sz w:val="18"/>
      <w:szCs w:val="18"/>
    </w:rPr>
  </w:style>
  <w:style w:type="paragraph" w:styleId="3">
    <w:name w:val="footer"/>
    <w:basedOn w:val="1"/>
    <w:link w:val="8"/>
    <w:uiPriority w:val="0"/>
    <w:pPr>
      <w:tabs>
        <w:tab w:val="center" w:pos="4153"/>
        <w:tab w:val="right" w:pos="8306"/>
      </w:tabs>
      <w:snapToGrid w:val="0"/>
      <w:jc w:val="left"/>
    </w:pPr>
    <w:rPr>
      <w:sz w:val="18"/>
      <w:szCs w:val="18"/>
    </w:rPr>
  </w:style>
  <w:style w:type="paragraph" w:styleId="4">
    <w:name w:val="header"/>
    <w:basedOn w:val="1"/>
    <w:link w:val="7"/>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uiPriority w:val="0"/>
    <w:rPr>
      <w:kern w:val="2"/>
      <w:sz w:val="18"/>
      <w:szCs w:val="18"/>
    </w:rPr>
  </w:style>
  <w:style w:type="character" w:customStyle="1" w:styleId="8">
    <w:name w:val="页脚 Char"/>
    <w:basedOn w:val="6"/>
    <w:link w:val="3"/>
    <w:uiPriority w:val="0"/>
    <w:rPr>
      <w:kern w:val="2"/>
      <w:sz w:val="18"/>
      <w:szCs w:val="18"/>
    </w:rPr>
  </w:style>
  <w:style w:type="character" w:customStyle="1" w:styleId="9">
    <w:name w:val="批注框文本 Char"/>
    <w:basedOn w:val="6"/>
    <w:link w:val="2"/>
    <w:uiPriority w:val="0"/>
    <w:rPr>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171</Words>
  <Characters>975</Characters>
  <Lines>8</Lines>
  <Paragraphs>2</Paragraphs>
  <TotalTime>103</TotalTime>
  <ScaleCrop>false</ScaleCrop>
  <LinksUpToDate>false</LinksUpToDate>
  <CharactersWithSpaces>1144</CharactersWithSpaces>
  <Application>WPS Office_11.1.0.11035_F1E327BC-269C-435d-A152-05C5408002CA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2021-11-19T06:09:00Z</dcterms:created>
  <dc:creator>新雨</dc:creator>
  <cp:lastModifiedBy>Administrator</cp:lastModifiedBy>
  <dcterms:modified xsi:type="dcterms:W3CDTF">2021-11-25T06:15:47Z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2052-11.1.0.11035</vt:lpwstr>
  </property>
  <property fmtid="{D5CDD505-2E9C-101B-9397-08002B2CF9AE}" pid="3" name="ICV">
    <vt:lpwstr>A16DE35017274F97A7BC1D94805B2047</vt:lpwstr>
  </property>
</Properties>
</file>